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1749" w14:textId="322EFD52" w:rsidR="0017343D" w:rsidRDefault="0017343D" w:rsidP="0017343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6902">
        <w:rPr>
          <w:rFonts w:ascii="Times New Roman" w:hAnsi="Times New Roman" w:cs="Times New Roman"/>
          <w:b/>
          <w:bCs/>
          <w:sz w:val="28"/>
          <w:szCs w:val="28"/>
        </w:rPr>
        <w:t xml:space="preserve">European </w:t>
      </w:r>
      <w:r w:rsidRPr="001D5297">
        <w:rPr>
          <w:rFonts w:ascii="Times New Roman" w:hAnsi="Times New Roman" w:cs="Times New Roman"/>
          <w:b/>
          <w:bCs/>
          <w:sz w:val="28"/>
          <w:szCs w:val="28"/>
        </w:rPr>
        <w:t>survey on metabolic and cardiovascular risk in Cushing syndrome</w:t>
      </w:r>
    </w:p>
    <w:p w14:paraId="05A70F9D" w14:textId="200504D4" w:rsidR="0017343D" w:rsidRPr="0017343D" w:rsidRDefault="0017343D" w:rsidP="0017343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343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Supplementary </w:t>
      </w:r>
      <w:r w:rsidR="00106D25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Pr="0017343D">
        <w:rPr>
          <w:rFonts w:ascii="Times New Roman" w:hAnsi="Times New Roman" w:cs="Times New Roman"/>
          <w:b/>
          <w:bCs/>
          <w:sz w:val="28"/>
          <w:szCs w:val="28"/>
          <w:u w:val="single"/>
        </w:rPr>
        <w:t>ata</w:t>
      </w:r>
    </w:p>
    <w:p w14:paraId="2B42D149" w14:textId="77777777" w:rsidR="00356C0D" w:rsidRPr="00EA67C1" w:rsidRDefault="00356C0D" w:rsidP="00356C0D">
      <w:pPr>
        <w:jc w:val="center"/>
        <w:rPr>
          <w:rFonts w:ascii="Calibri" w:eastAsia="Times New Roman" w:hAnsi="Calibri" w:cs="Calibri"/>
          <w:lang w:eastAsia="it-IT"/>
        </w:rPr>
      </w:pPr>
      <w:bookmarkStart w:id="0" w:name="_Hlk189932528"/>
      <w:r w:rsidRPr="00EA67C1">
        <w:rPr>
          <w:rFonts w:ascii="Times New Roman" w:hAnsi="Times New Roman" w:cs="Times New Roman"/>
          <w:i/>
          <w:sz w:val="24"/>
          <w:szCs w:val="24"/>
        </w:rPr>
        <w:t>Authors:</w:t>
      </w:r>
      <w:r w:rsidRPr="00EA67C1">
        <w:rPr>
          <w:rFonts w:ascii="Times New Roman" w:hAnsi="Times New Roman" w:cs="Times New Roman"/>
          <w:iCs/>
          <w:sz w:val="24"/>
          <w:szCs w:val="24"/>
        </w:rPr>
        <w:t xml:space="preserve"> Alessandro Mondin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1,2</w:t>
      </w:r>
      <w:r w:rsidRPr="00EA67C1">
        <w:rPr>
          <w:rFonts w:ascii="Times New Roman" w:hAnsi="Times New Roman" w:cs="Times New Roman"/>
          <w:iCs/>
          <w:sz w:val="24"/>
          <w:szCs w:val="24"/>
        </w:rPr>
        <w:t>, Mattia Barbot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1,2</w:t>
      </w:r>
      <w:r w:rsidRPr="00EA67C1">
        <w:rPr>
          <w:rFonts w:ascii="Times New Roman" w:hAnsi="Times New Roman" w:cs="Times New Roman"/>
          <w:iCs/>
          <w:sz w:val="24"/>
          <w:szCs w:val="24"/>
        </w:rPr>
        <w:t>, Filippo Ceccato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1,2</w:t>
      </w:r>
      <w:r w:rsidRPr="00EA67C1">
        <w:rPr>
          <w:rFonts w:ascii="Times New Roman" w:hAnsi="Times New Roman" w:cs="Times New Roman"/>
          <w:iCs/>
          <w:sz w:val="24"/>
          <w:szCs w:val="24"/>
        </w:rPr>
        <w:t>, Alberto M Pereira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3,4</w:t>
      </w:r>
      <w:r w:rsidRPr="00EA67C1">
        <w:rPr>
          <w:rFonts w:ascii="Times New Roman" w:hAnsi="Times New Roman" w:cs="Times New Roman"/>
          <w:iCs/>
          <w:sz w:val="24"/>
          <w:szCs w:val="24"/>
        </w:rPr>
        <w:t>, Anna Angelousi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Pr="00EA67C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A67C1">
        <w:rPr>
          <w:rFonts w:ascii="Times New Roman" w:hAnsi="Times New Roman" w:cs="Times New Roman"/>
          <w:iCs/>
          <w:sz w:val="24"/>
          <w:szCs w:val="24"/>
        </w:rPr>
        <w:t>Atanaska</w:t>
      </w:r>
      <w:proofErr w:type="spellEnd"/>
      <w:r w:rsidRPr="00EA67C1">
        <w:rPr>
          <w:rFonts w:ascii="Times New Roman" w:hAnsi="Times New Roman" w:cs="Times New Roman"/>
          <w:iCs/>
          <w:sz w:val="24"/>
          <w:szCs w:val="24"/>
        </w:rPr>
        <w:t xml:space="preserve"> Elenkova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r w:rsidRPr="00EA67C1">
        <w:rPr>
          <w:rFonts w:ascii="Times New Roman" w:hAnsi="Times New Roman" w:cs="Times New Roman"/>
          <w:iCs/>
          <w:sz w:val="24"/>
          <w:szCs w:val="24"/>
        </w:rPr>
        <w:t>, Birute Zilaitiene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7</w:t>
      </w:r>
      <w:r w:rsidRPr="00EA67C1">
        <w:rPr>
          <w:rFonts w:ascii="Times New Roman" w:hAnsi="Times New Roman" w:cs="Times New Roman"/>
          <w:iCs/>
          <w:sz w:val="24"/>
          <w:szCs w:val="24"/>
        </w:rPr>
        <w:t>, Camilla Schalin-Jäntti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8</w:t>
      </w:r>
      <w:r w:rsidRPr="00EA67C1">
        <w:rPr>
          <w:rFonts w:ascii="Times New Roman" w:hAnsi="Times New Roman" w:cs="Times New Roman"/>
          <w:iCs/>
          <w:sz w:val="24"/>
          <w:szCs w:val="24"/>
        </w:rPr>
        <w:t>, Carlien De Herdt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9</w:t>
      </w:r>
      <w:r w:rsidRPr="00EA67C1">
        <w:rPr>
          <w:rFonts w:ascii="Times New Roman" w:hAnsi="Times New Roman" w:cs="Times New Roman"/>
          <w:iCs/>
          <w:sz w:val="24"/>
          <w:szCs w:val="24"/>
        </w:rPr>
        <w:t>, Christina Kanaka-Gantenbein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10</w:t>
      </w:r>
      <w:r w:rsidRPr="00EA67C1">
        <w:rPr>
          <w:rFonts w:ascii="Times New Roman" w:hAnsi="Times New Roman" w:cs="Times New Roman"/>
          <w:iCs/>
          <w:sz w:val="24"/>
          <w:szCs w:val="24"/>
        </w:rPr>
        <w:t>, Dominique Maiter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11</w:t>
      </w:r>
      <w:r w:rsidRPr="00EA67C1">
        <w:rPr>
          <w:rFonts w:ascii="Times New Roman" w:hAnsi="Times New Roman" w:cs="Times New Roman"/>
          <w:iCs/>
          <w:sz w:val="24"/>
          <w:szCs w:val="24"/>
        </w:rPr>
        <w:t>, Federico Gatto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12,13</w:t>
      </w:r>
      <w:r w:rsidRPr="00EA67C1">
        <w:rPr>
          <w:rFonts w:ascii="Times New Roman" w:hAnsi="Times New Roman" w:cs="Times New Roman"/>
          <w:iCs/>
          <w:sz w:val="24"/>
          <w:szCs w:val="24"/>
        </w:rPr>
        <w:t>, Gudmundur Johannsson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14</w:t>
      </w:r>
      <w:r w:rsidRPr="00EA67C1">
        <w:rPr>
          <w:rFonts w:ascii="Times New Roman" w:hAnsi="Times New Roman" w:cs="Times New Roman"/>
          <w:iCs/>
          <w:sz w:val="24"/>
          <w:szCs w:val="24"/>
        </w:rPr>
        <w:t>, Kirstine Stochholm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15</w:t>
      </w:r>
      <w:r w:rsidRPr="00EA67C1">
        <w:rPr>
          <w:rFonts w:ascii="Times New Roman" w:hAnsi="Times New Roman" w:cs="Times New Roman"/>
          <w:iCs/>
          <w:sz w:val="24"/>
          <w:szCs w:val="24"/>
        </w:rPr>
        <w:t>, Maria João Bugalho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16</w:t>
      </w:r>
      <w:r w:rsidRPr="00EA67C1">
        <w:rPr>
          <w:rFonts w:ascii="Times New Roman" w:hAnsi="Times New Roman" w:cs="Times New Roman"/>
          <w:iCs/>
          <w:sz w:val="24"/>
          <w:szCs w:val="24"/>
        </w:rPr>
        <w:t>, Mario Detomas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17</w:t>
      </w:r>
      <w:r w:rsidRPr="00EA67C1">
        <w:rPr>
          <w:rFonts w:ascii="Times New Roman" w:hAnsi="Times New Roman" w:cs="Times New Roman"/>
          <w:iCs/>
          <w:sz w:val="24"/>
          <w:szCs w:val="24"/>
        </w:rPr>
        <w:t>, Martin Reincke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18</w:t>
      </w:r>
      <w:r w:rsidRPr="00EA67C1">
        <w:rPr>
          <w:rFonts w:ascii="Times New Roman" w:hAnsi="Times New Roman" w:cs="Times New Roman"/>
          <w:iCs/>
          <w:sz w:val="24"/>
          <w:szCs w:val="24"/>
        </w:rPr>
        <w:t>, Meropi Toumba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19</w:t>
      </w:r>
      <w:r w:rsidRPr="00EA67C1">
        <w:rPr>
          <w:rFonts w:ascii="Times New Roman" w:hAnsi="Times New Roman" w:cs="Times New Roman"/>
          <w:iCs/>
          <w:sz w:val="24"/>
          <w:szCs w:val="24"/>
        </w:rPr>
        <w:t>, Roberta Giordano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20</w:t>
      </w:r>
      <w:r w:rsidRPr="00EA67C1">
        <w:rPr>
          <w:rFonts w:ascii="Times New Roman" w:hAnsi="Times New Roman" w:cs="Times New Roman"/>
          <w:iCs/>
          <w:sz w:val="24"/>
          <w:szCs w:val="24"/>
        </w:rPr>
        <w:t>, Stylianos Tsagarakis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21</w:t>
      </w:r>
      <w:r w:rsidRPr="00EA67C1">
        <w:rPr>
          <w:rFonts w:ascii="Times New Roman" w:hAnsi="Times New Roman" w:cs="Times New Roman"/>
          <w:iCs/>
          <w:sz w:val="24"/>
          <w:szCs w:val="24"/>
        </w:rPr>
        <w:t>, Susan M Webb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22</w:t>
      </w:r>
      <w:r w:rsidRPr="00EA67C1">
        <w:rPr>
          <w:rFonts w:ascii="Times New Roman" w:hAnsi="Times New Roman" w:cs="Times New Roman"/>
          <w:iCs/>
          <w:sz w:val="24"/>
          <w:szCs w:val="24"/>
        </w:rPr>
        <w:t>, Nienke R Biermasz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EA67C1">
        <w:rPr>
          <w:rFonts w:ascii="Times New Roman" w:hAnsi="Times New Roman" w:cs="Times New Roman"/>
          <w:iCs/>
          <w:sz w:val="24"/>
          <w:szCs w:val="24"/>
        </w:rPr>
        <w:t>, Carla Scaroni</w:t>
      </w:r>
      <w:r w:rsidRPr="00EA67C1">
        <w:rPr>
          <w:rFonts w:ascii="Times New Roman" w:hAnsi="Times New Roman" w:cs="Times New Roman"/>
          <w:iCs/>
          <w:sz w:val="24"/>
          <w:szCs w:val="24"/>
          <w:vertAlign w:val="superscript"/>
        </w:rPr>
        <w:t>1,2</w:t>
      </w:r>
    </w:p>
    <w:p w14:paraId="3D63B3B0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 xml:space="preserve">1 </w:t>
      </w:r>
      <w:r w:rsidRPr="00EA67C1">
        <w:rPr>
          <w:rFonts w:ascii="Times New Roman" w:hAnsi="Times New Roman" w:cs="Times New Roman"/>
          <w:i/>
          <w:iCs/>
        </w:rPr>
        <w:t>Department of Medicine-DIMED, University of Padova, Padova, Italy.</w:t>
      </w:r>
    </w:p>
    <w:p w14:paraId="34F13C6F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 xml:space="preserve">2 </w:t>
      </w:r>
      <w:r w:rsidRPr="00EA67C1">
        <w:rPr>
          <w:rFonts w:ascii="Times New Roman" w:hAnsi="Times New Roman" w:cs="Times New Roman"/>
          <w:i/>
          <w:iCs/>
        </w:rPr>
        <w:t>Endocrinology Unit, University Hospital of Padova, Padova, Italy</w:t>
      </w:r>
    </w:p>
    <w:p w14:paraId="25A82B78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>.3</w:t>
      </w:r>
      <w:r w:rsidRPr="00EA67C1">
        <w:rPr>
          <w:rFonts w:ascii="Times New Roman" w:hAnsi="Times New Roman" w:cs="Times New Roman"/>
          <w:i/>
          <w:iCs/>
        </w:rPr>
        <w:t xml:space="preserve"> Center for Endocrine Tumors Leiden, Department of Medicine, Division of Endocrinology, Leiden University Medical Center, Leiden, the Netherlands.</w:t>
      </w:r>
    </w:p>
    <w:p w14:paraId="3F985676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>4</w:t>
      </w:r>
      <w:r w:rsidRPr="00EA67C1">
        <w:rPr>
          <w:rFonts w:ascii="Times New Roman" w:hAnsi="Times New Roman" w:cs="Times New Roman"/>
          <w:i/>
          <w:iCs/>
        </w:rPr>
        <w:t xml:space="preserve"> </w:t>
      </w:r>
      <w:r w:rsidRPr="00EA67C1">
        <w:rPr>
          <w:rFonts w:ascii="Times New Roman" w:hAnsi="Times New Roman" w:cs="Times New Roman"/>
          <w:i/>
          <w:iCs/>
          <w:lang w:val="en-US"/>
        </w:rPr>
        <w:t>Pituitary Centre Amsterdam, Amsterdam, the Netherlands.</w:t>
      </w:r>
    </w:p>
    <w:p w14:paraId="5239CBBA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>5</w:t>
      </w:r>
      <w:r w:rsidRPr="00EA67C1">
        <w:rPr>
          <w:rFonts w:ascii="Times New Roman" w:hAnsi="Times New Roman" w:cs="Times New Roman"/>
          <w:i/>
          <w:iCs/>
        </w:rPr>
        <w:t xml:space="preserve"> Unit of Endocrinology, First Department of Internal Medicine, </w:t>
      </w:r>
      <w:proofErr w:type="spellStart"/>
      <w:r w:rsidRPr="00EA67C1">
        <w:rPr>
          <w:rFonts w:ascii="Times New Roman" w:hAnsi="Times New Roman" w:cs="Times New Roman"/>
          <w:i/>
          <w:iCs/>
        </w:rPr>
        <w:t>Laikon</w:t>
      </w:r>
      <w:proofErr w:type="spellEnd"/>
      <w:r w:rsidRPr="00EA67C1">
        <w:rPr>
          <w:rFonts w:ascii="Times New Roman" w:hAnsi="Times New Roman" w:cs="Times New Roman"/>
          <w:i/>
          <w:iCs/>
        </w:rPr>
        <w:t xml:space="preserve"> Hospital, Center of Excellence of Endocrine Tumours, National and </w:t>
      </w:r>
      <w:proofErr w:type="spellStart"/>
      <w:r w:rsidRPr="00EA67C1">
        <w:rPr>
          <w:rFonts w:ascii="Times New Roman" w:hAnsi="Times New Roman" w:cs="Times New Roman"/>
          <w:i/>
          <w:iCs/>
        </w:rPr>
        <w:t>Kapodistrian</w:t>
      </w:r>
      <w:proofErr w:type="spellEnd"/>
      <w:r w:rsidRPr="00EA67C1">
        <w:rPr>
          <w:rFonts w:ascii="Times New Roman" w:hAnsi="Times New Roman" w:cs="Times New Roman"/>
          <w:i/>
          <w:iCs/>
        </w:rPr>
        <w:t xml:space="preserve"> University of Athens, 11527 Athens, Greece.</w:t>
      </w:r>
    </w:p>
    <w:p w14:paraId="0E4976C4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6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Endocrinology, Faculty of Medicine, Medical University-Sofia, USHATE "Acad. Iv. Penchev", 2,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Zdrave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Str., 1431 Sofia, Bulgaria.</w:t>
      </w:r>
    </w:p>
    <w:p w14:paraId="335DE8AA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7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Institute of Endocrinology, Medical Academy, Lithuanian University of Health Sciences, 50161 Kaunas, Lithuania.</w:t>
      </w:r>
    </w:p>
    <w:p w14:paraId="34B382B9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8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Endocrinology, Abdominal Center, Helsinki University Hospital and University of Helsinki, ENDO-ERN (European Reference Network on Rare Endocrine Conditions), Helsinki, Finland</w:t>
      </w:r>
    </w:p>
    <w:p w14:paraId="65AAB930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</w:rPr>
        <w:t>9</w:t>
      </w:r>
      <w:r w:rsidRPr="00EA67C1">
        <w:rPr>
          <w:rFonts w:ascii="Times New Roman" w:hAnsi="Times New Roman" w:cs="Times New Roman"/>
          <w:i/>
          <w:iCs/>
        </w:rPr>
        <w:t xml:space="preserve"> Department of Endocrinology, Diabetology and Metabolic Diseases, Antwerp University Hospital, Antwerp, Belgium.</w:t>
      </w:r>
    </w:p>
    <w:p w14:paraId="618F594D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10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Division of Endocrinology, Diabetes and Metabolism and Aghia Sophia ENDO-ERN Center for Rare Pediatric Endocrine Disorders, First Department of Pediatrics, Medical School, Aghia Sophia Children's Hospital, National and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Kapodistrian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University of Athens, 11527 Athens, Greece.</w:t>
      </w:r>
    </w:p>
    <w:p w14:paraId="5361CA45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11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Endocrinology and Nutrition, Cliniques Universitaires Saint-Luc UCL,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Bruxelles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>, Belgium.</w:t>
      </w:r>
    </w:p>
    <w:p w14:paraId="69999719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12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Endocrinology Unit, Department of Internal Medicine and Medical Specialties, University of Genova, 16132 Genova, Italy.</w:t>
      </w:r>
    </w:p>
    <w:p w14:paraId="444698B6" w14:textId="77777777" w:rsidR="00356C0D" w:rsidRPr="00356C0D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356C0D">
        <w:rPr>
          <w:rFonts w:ascii="Times New Roman" w:hAnsi="Times New Roman" w:cs="Times New Roman"/>
          <w:i/>
          <w:iCs/>
          <w:vertAlign w:val="superscript"/>
          <w:lang w:val="it-IT"/>
        </w:rPr>
        <w:t>13</w:t>
      </w:r>
      <w:r w:rsidRPr="00356C0D">
        <w:rPr>
          <w:rFonts w:ascii="Times New Roman" w:hAnsi="Times New Roman" w:cs="Times New Roman"/>
          <w:i/>
          <w:iCs/>
          <w:lang w:val="it-IT"/>
        </w:rPr>
        <w:t xml:space="preserve"> IRCCS Ospedale Policlinico San Martino, 16132 Genova, Italy.</w:t>
      </w:r>
    </w:p>
    <w:p w14:paraId="635D56E8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14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Internal Medicine and Clinical Nutrition, Institute of Medicine,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Sahlgrenska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Academy, University of Gothenburg &amp; Department of Endocrinology,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Sahlgrenska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University Hospital, Gothenburg, Sweden.</w:t>
      </w:r>
    </w:p>
    <w:p w14:paraId="0EDBE57D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15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Internal Medicine and Endocrinology, Aarhus University Hospital, Aarhus, Denmark.</w:t>
      </w:r>
    </w:p>
    <w:p w14:paraId="24FFB2C5" w14:textId="77777777" w:rsidR="00356C0D" w:rsidRPr="00356C0D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356C0D">
        <w:rPr>
          <w:rFonts w:ascii="Times New Roman" w:hAnsi="Times New Roman" w:cs="Times New Roman"/>
          <w:i/>
          <w:iCs/>
          <w:vertAlign w:val="superscript"/>
          <w:lang w:val="it-IT"/>
        </w:rPr>
        <w:t>16</w:t>
      </w:r>
      <w:r w:rsidRPr="00356C0D">
        <w:rPr>
          <w:rFonts w:ascii="Times New Roman" w:hAnsi="Times New Roman" w:cs="Times New Roman"/>
          <w:i/>
          <w:iCs/>
          <w:lang w:val="it-IT"/>
        </w:rPr>
        <w:t xml:space="preserve"> Serviço de Endocrinologia, ULS Santa Maria, Lisboa, Portugal</w:t>
      </w:r>
    </w:p>
    <w:p w14:paraId="0079F88D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17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Internal Medicine I, Division of Endocrinology and Diabetes, University Hospital, University of Würzburg, 97080 Würzburg, Germany.</w:t>
      </w:r>
    </w:p>
    <w:p w14:paraId="6240E98D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vertAlign w:val="superscript"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lastRenderedPageBreak/>
        <w:t>18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A67C1">
        <w:rPr>
          <w:rFonts w:ascii="Times New Roman" w:hAnsi="Times New Roman" w:cs="Times New Roman"/>
          <w:i/>
          <w:iCs/>
          <w:lang w:val="de-DE"/>
        </w:rPr>
        <w:t>Medizinische Klinik und Poliklinik IV, LMU University Hospital, LMU Munich , Munich, Germany.</w:t>
      </w: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 xml:space="preserve"> </w:t>
      </w:r>
    </w:p>
    <w:p w14:paraId="6F4CA621" w14:textId="77777777" w:rsidR="00356C0D" w:rsidRPr="00EA67C1" w:rsidRDefault="00356C0D" w:rsidP="00356C0D">
      <w:pPr>
        <w:spacing w:after="0" w:line="360" w:lineRule="auto"/>
        <w:jc w:val="both"/>
        <w:rPr>
          <w:rFonts w:ascii="Calibri" w:eastAsia="Times New Roman" w:hAnsi="Calibri" w:cs="Calibri"/>
          <w:lang w:val="en-US" w:eastAsia="it-IT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19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American Medical Center, Strovolos 2047 &amp; School of Medicine, University of Nicosia, 2414 Nicosia, Cyprus.</w:t>
      </w:r>
    </w:p>
    <w:p w14:paraId="6A8E3878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20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Biological and Clinical Sciences, University of Turin, Turin, Italy.</w:t>
      </w:r>
    </w:p>
    <w:p w14:paraId="6D1956CA" w14:textId="77777777" w:rsidR="00356C0D" w:rsidRPr="00EA67C1" w:rsidRDefault="00356C0D" w:rsidP="00356C0D">
      <w:pPr>
        <w:spacing w:after="0"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21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Department of Endocrinology, Diabetes and Metabolism, European Reference Network on Rare Endocrine Conditions (ENDO-ERN), Evangelismos Hospital, 10676, Athens, Greece.</w:t>
      </w:r>
    </w:p>
    <w:p w14:paraId="0023859D" w14:textId="77777777" w:rsidR="00356C0D" w:rsidRPr="00EA67C1" w:rsidRDefault="00356C0D" w:rsidP="00356C0D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EA67C1">
        <w:rPr>
          <w:rFonts w:ascii="Times New Roman" w:hAnsi="Times New Roman" w:cs="Times New Roman"/>
          <w:i/>
          <w:iCs/>
          <w:vertAlign w:val="superscript"/>
          <w:lang w:val="en-US"/>
        </w:rPr>
        <w:t>22</w:t>
      </w:r>
      <w:r w:rsidRPr="00EA67C1">
        <w:rPr>
          <w:rFonts w:ascii="Times New Roman" w:hAnsi="Times New Roman" w:cs="Times New Roman"/>
          <w:i/>
          <w:iCs/>
          <w:lang w:val="en-US"/>
        </w:rPr>
        <w:t xml:space="preserve"> </w:t>
      </w:r>
      <w:bookmarkEnd w:id="0"/>
      <w:r w:rsidRPr="00EA67C1">
        <w:rPr>
          <w:rFonts w:ascii="Times New Roman" w:hAnsi="Times New Roman" w:cs="Times New Roman"/>
          <w:i/>
          <w:iCs/>
          <w:lang w:val="en-US"/>
        </w:rPr>
        <w:t xml:space="preserve">Department of Medicine, Univ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Autonoma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Barcelona; Research Center for Pituitary Diseases,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Institut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de </w:t>
      </w:r>
      <w:proofErr w:type="spellStart"/>
      <w:r w:rsidRPr="00EA67C1">
        <w:rPr>
          <w:rFonts w:ascii="Times New Roman" w:hAnsi="Times New Roman" w:cs="Times New Roman"/>
          <w:i/>
          <w:iCs/>
          <w:lang w:val="en-US"/>
        </w:rPr>
        <w:t>Recerca</w:t>
      </w:r>
      <w:proofErr w:type="spellEnd"/>
      <w:r w:rsidRPr="00EA67C1">
        <w:rPr>
          <w:rFonts w:ascii="Times New Roman" w:hAnsi="Times New Roman" w:cs="Times New Roman"/>
          <w:i/>
          <w:iCs/>
          <w:lang w:val="en-US"/>
        </w:rPr>
        <w:t xml:space="preserve"> Sant Pau (IIB-Sant Pau) and CIBERER Unit 747, ISCIII; Department of Endocrinology, Hospital S Pau, Barcelona, Spain. </w:t>
      </w:r>
    </w:p>
    <w:p w14:paraId="27F528D2" w14:textId="77777777" w:rsidR="006946D0" w:rsidRPr="006A0975" w:rsidRDefault="006946D0" w:rsidP="0026069F">
      <w:pPr>
        <w:jc w:val="both"/>
        <w:rPr>
          <w:b/>
          <w:bCs/>
          <w:i/>
          <w:iCs/>
          <w:lang w:val="en-US"/>
        </w:rPr>
        <w:sectPr w:rsidR="006946D0" w:rsidRPr="006A0975" w:rsidSect="001375DC">
          <w:footerReference w:type="default" r:id="rId7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C20834" w14:textId="33C12D9F" w:rsidR="009A6E4E" w:rsidRPr="00DB1920" w:rsidRDefault="009A6E4E" w:rsidP="00A2627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able 1. </w:t>
      </w:r>
      <w:r w:rsidR="00731C33" w:rsidRPr="00DB1920">
        <w:rPr>
          <w:rFonts w:ascii="Times New Roman" w:hAnsi="Times New Roman" w:cs="Times New Roman"/>
          <w:i/>
          <w:iCs/>
          <w:sz w:val="24"/>
          <w:szCs w:val="24"/>
        </w:rPr>
        <w:t>Survey questions</w:t>
      </w:r>
      <w:r w:rsidR="00D5331C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. Domains included are definitions and epidemiology (red), cardiovascular </w:t>
      </w:r>
      <w:r w:rsidR="004E6779">
        <w:rPr>
          <w:rFonts w:ascii="Times New Roman" w:hAnsi="Times New Roman" w:cs="Times New Roman"/>
          <w:i/>
          <w:iCs/>
          <w:sz w:val="24"/>
          <w:szCs w:val="24"/>
        </w:rPr>
        <w:t>risk</w:t>
      </w:r>
      <w:r w:rsidR="00D5331C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(green), arterial hypertension (blue), 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glucose metabolism (yellow), </w:t>
      </w:r>
      <w:r w:rsidR="00463771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lipid metabolism (purple), </w:t>
      </w:r>
      <w:r w:rsidR="00DB1920" w:rsidRPr="00DB1920">
        <w:rPr>
          <w:rFonts w:ascii="Times New Roman" w:hAnsi="Times New Roman" w:cs="Times New Roman"/>
          <w:i/>
          <w:iCs/>
          <w:sz w:val="24"/>
          <w:szCs w:val="24"/>
        </w:rPr>
        <w:t>vascular disease (orange), obesity (</w:t>
      </w:r>
      <w:r w:rsidR="00DB1920">
        <w:rPr>
          <w:rFonts w:ascii="Times New Roman" w:hAnsi="Times New Roman" w:cs="Times New Roman"/>
          <w:i/>
          <w:iCs/>
          <w:sz w:val="24"/>
          <w:szCs w:val="24"/>
        </w:rPr>
        <w:t>grey</w:t>
      </w:r>
      <w:r w:rsidR="00DB1920" w:rsidRPr="00DB1920">
        <w:rPr>
          <w:rFonts w:ascii="Times New Roman" w:hAnsi="Times New Roman" w:cs="Times New Roman"/>
          <w:i/>
          <w:iCs/>
          <w:sz w:val="24"/>
          <w:szCs w:val="24"/>
        </w:rPr>
        <w:t>) and miscellany (</w:t>
      </w:r>
      <w:r w:rsidR="00BA545B">
        <w:rPr>
          <w:rFonts w:ascii="Times New Roman" w:hAnsi="Times New Roman" w:cs="Times New Roman"/>
          <w:i/>
          <w:iCs/>
          <w:sz w:val="24"/>
          <w:szCs w:val="24"/>
        </w:rPr>
        <w:t>green water</w:t>
      </w:r>
      <w:r w:rsidR="00DB1920" w:rsidRPr="00DB1920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21685C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C90" w:rsidRPr="00DB1920">
        <w:rPr>
          <w:rFonts w:ascii="Times New Roman" w:hAnsi="Times New Roman" w:cs="Times New Roman"/>
          <w:i/>
          <w:iCs/>
          <w:sz w:val="24"/>
          <w:szCs w:val="24"/>
        </w:rPr>
        <w:t>MC</w:t>
      </w:r>
      <w:r w:rsidR="0021685C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: multiple </w:t>
      </w:r>
      <w:r w:rsidR="00434C90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choices; OF: open field; </w:t>
      </w:r>
      <w:r w:rsidR="001C08CC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CS: Cushing’s syndrome; </w:t>
      </w:r>
      <w:r w:rsidR="00434C90" w:rsidRPr="00DB1920">
        <w:rPr>
          <w:rFonts w:ascii="Times New Roman" w:hAnsi="Times New Roman" w:cs="Times New Roman"/>
          <w:i/>
          <w:iCs/>
          <w:sz w:val="24"/>
          <w:szCs w:val="24"/>
        </w:rPr>
        <w:t>CD: Cushing’s Disease; EAS: ectopic ACTH secretion; b: benign; m: malignant; ACS: adrenal Cushing’s syndrome</w:t>
      </w:r>
      <w:r w:rsidR="00D61310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; OGTT: oral glucose tolerance test; usPCR: ultra-sensitive C-reactive protein; BNP: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D61310" w:rsidRPr="00DB1920">
        <w:rPr>
          <w:rFonts w:ascii="Times New Roman" w:hAnsi="Times New Roman" w:cs="Times New Roman"/>
          <w:i/>
          <w:iCs/>
          <w:sz w:val="24"/>
          <w:szCs w:val="24"/>
        </w:rPr>
        <w:t>-type natriuretic peptide; GFR: glomerular filtration rate; Na: sodium; K: potassium; Mg: Magnesium; Ca: calcium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; HOMA-IR: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omeostatic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odel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ssessment for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nsulin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3B09BD" w:rsidRPr="00DB1920">
        <w:rPr>
          <w:rFonts w:ascii="Times New Roman" w:hAnsi="Times New Roman" w:cs="Times New Roman"/>
          <w:i/>
          <w:iCs/>
          <w:sz w:val="24"/>
          <w:szCs w:val="24"/>
        </w:rPr>
        <w:t>esistance; HbA1c: glycosylated haemoglobin;</w:t>
      </w:r>
      <w:r w:rsidR="00A470A9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GLP: glucagon like peptide; DDP: dipeptidyl peptidase; SGLT: sodium glucose transporter;</w:t>
      </w:r>
      <w:r w:rsidR="00CA6DC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LDL: low density lipoproteins; PCSK: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CA6DC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roprotein </w:t>
      </w:r>
      <w:r w:rsidR="004E677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CA6DC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onvertase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CA6DCF" w:rsidRPr="00DB1920">
        <w:rPr>
          <w:rFonts w:ascii="Times New Roman" w:hAnsi="Times New Roman" w:cs="Times New Roman"/>
          <w:i/>
          <w:iCs/>
          <w:sz w:val="24"/>
          <w:szCs w:val="24"/>
        </w:rPr>
        <w:t>ubtilisin/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CA6DC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exin; </w:t>
      </w:r>
      <w:r w:rsidR="00463771" w:rsidRPr="00DB1920">
        <w:rPr>
          <w:rFonts w:ascii="Times New Roman" w:hAnsi="Times New Roman" w:cs="Times New Roman"/>
          <w:i/>
          <w:iCs/>
          <w:sz w:val="24"/>
          <w:szCs w:val="24"/>
        </w:rPr>
        <w:t>CT: computed tomography</w:t>
      </w:r>
      <w:r w:rsidR="00434C90" w:rsidRPr="00DB192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5331C" w:rsidRPr="00DB1920" w14:paraId="6B9F804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  <w:hideMark/>
          </w:tcPr>
          <w:p w14:paraId="284B4B96" w14:textId="5410F5B0" w:rsidR="0021685C" w:rsidRPr="00DB1920" w:rsidRDefault="0021685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How do you define a new patient? (</w:t>
            </w:r>
            <w:r w:rsidR="00434C90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MC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OF</w:t>
            </w:r>
            <w:r w:rsidR="00434C90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21685C" w:rsidRPr="00DB1920" w14:paraId="6144B99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4DFF96B0" w14:textId="23B457BB" w:rsidR="0021685C" w:rsidRPr="00DB1920" w:rsidRDefault="0021685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Treatment naïve patients</w:t>
            </w:r>
          </w:p>
        </w:tc>
      </w:tr>
      <w:tr w:rsidR="0021685C" w:rsidRPr="00DB1920" w14:paraId="361F4CF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52F9041A" w14:textId="222ADC7F" w:rsidR="0021685C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Patients not previously seen by the reference center</w:t>
            </w:r>
          </w:p>
        </w:tc>
      </w:tr>
      <w:tr w:rsidR="0021685C" w:rsidRPr="00DB1920" w14:paraId="67B3026B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121FC41B" w14:textId="425187ED" w:rsidR="0021685C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Any patient with an exceeding interval between the last and the present consultation depending on the </w:t>
            </w:r>
            <w:r w:rsidR="00D61310" w:rsidRPr="00DB19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record of the reference center (for instance more than 12 months)</w:t>
            </w:r>
          </w:p>
        </w:tc>
      </w:tr>
      <w:tr w:rsidR="0021685C" w:rsidRPr="00DB1920" w14:paraId="0C9832E9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13E67EB9" w14:textId="03A97D5E" w:rsidR="0021685C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Patients with recurrent disease after initial remission</w:t>
            </w:r>
          </w:p>
        </w:tc>
      </w:tr>
      <w:tr w:rsidR="00434C90" w:rsidRPr="00DB1920" w14:paraId="58AE43CB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311DA0CA" w14:textId="0664D15F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434C90" w:rsidRPr="00DB1920" w14:paraId="0AF9B17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3FA3D39B" w14:textId="26C6C95A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How do you define a patient under chronic care?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434C90" w:rsidRPr="00DB1920" w14:paraId="28966541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03171BE9" w14:textId="25F06BCE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Patients under active treatment at the reference center</w:t>
            </w:r>
          </w:p>
        </w:tc>
      </w:tr>
      <w:tr w:rsidR="00434C90" w:rsidRPr="00DB1920" w14:paraId="42929BE0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5706FFDD" w14:textId="06F80927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Patients with previous treatment at the reference center (e.g. patients in complete remission after treatment)</w:t>
            </w:r>
          </w:p>
        </w:tc>
      </w:tr>
      <w:tr w:rsidR="00434C90" w:rsidRPr="00DB1920" w14:paraId="23B5C2CA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718202E3" w14:textId="1AB219AD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Patients with previous treatment currently under affiliated ce</w:t>
            </w:r>
            <w:r w:rsidR="004E67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ters referred to the reference center for a single consultation only, diagnostic tests, or for specific procedure</w:t>
            </w:r>
          </w:p>
        </w:tc>
      </w:tr>
      <w:tr w:rsidR="00434C90" w:rsidRPr="00DB1920" w14:paraId="17DA82E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064B752A" w14:textId="4DC9633B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434C90" w:rsidRPr="00DB1920" w14:paraId="215CF27E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51861EEB" w14:textId="4D31E180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 Do you have a specific database containing clinical characteristics of patients with CS?</w:t>
            </w:r>
          </w:p>
        </w:tc>
      </w:tr>
      <w:tr w:rsidR="00434C90" w:rsidRPr="00DB1920" w14:paraId="4F7501B0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250F1A69" w14:textId="6FB319B3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34C90" w:rsidRPr="00DB1920" w14:paraId="3CFB7F4B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72EB03BE" w14:textId="727DF316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3.2 If yes, what kind of database? (OF)</w:t>
            </w:r>
          </w:p>
        </w:tc>
      </w:tr>
      <w:tr w:rsidR="00434C90" w:rsidRPr="00DB1920" w14:paraId="1D3D879D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76EDD627" w14:textId="1F912412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3.3 Do you use the ERCUSYN registry?</w:t>
            </w:r>
          </w:p>
        </w:tc>
      </w:tr>
      <w:tr w:rsidR="00434C90" w:rsidRPr="00DB1920" w14:paraId="06726FE0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35D34E5F" w14:textId="7C4062E2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34C90" w:rsidRPr="00DB1920" w14:paraId="583E285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67F90B94" w14:textId="089A25D3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  What is the number of patients newly diagnosed with the following C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subtypes in your center in 2020 and 2021? (OF)</w:t>
            </w:r>
          </w:p>
        </w:tc>
      </w:tr>
      <w:tr w:rsidR="00434C90" w:rsidRPr="00DB1920" w14:paraId="259B2381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4960E76D" w14:textId="5B23D578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Number of CD/EAS/b-ACS/m-ACS for 2020 and 2021</w:t>
            </w:r>
          </w:p>
        </w:tc>
      </w:tr>
      <w:tr w:rsidR="00434C90" w:rsidRPr="00DB1920" w14:paraId="7B67E95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041A2E1E" w14:textId="480B820A" w:rsidR="00434C90" w:rsidRPr="00DB1920" w:rsidRDefault="00434C9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5.  What is the number of patients with the 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following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subtypes under 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chronic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care in your center in 2020 and 2021?</w:t>
            </w:r>
            <w:r w:rsidR="001C08C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434C90" w:rsidRPr="00DB1920" w14:paraId="5C14476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37A550A9" w14:textId="32761506" w:rsidR="00434C90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Number of CD/EAS/b-ACS/m-ACS for 2020 and 2021</w:t>
            </w:r>
          </w:p>
        </w:tc>
      </w:tr>
      <w:tr w:rsidR="00434C90" w:rsidRPr="00DB1920" w14:paraId="0ABDA36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784F069D" w14:textId="1DA921E3" w:rsidR="00434C90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6.1 Does discharge of follow-up depend on the </w:t>
            </w:r>
            <w:r w:rsidR="00635D39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aetiology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of CS?</w:t>
            </w:r>
          </w:p>
        </w:tc>
      </w:tr>
      <w:tr w:rsidR="001C08CC" w:rsidRPr="00DB1920" w14:paraId="45FFC4EE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39567CD5" w14:textId="0032B83B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Yes/No</w:t>
            </w:r>
          </w:p>
        </w:tc>
      </w:tr>
      <w:tr w:rsidR="001C08CC" w:rsidRPr="00DB1920" w14:paraId="48024DA5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10487D79" w14:textId="1CA5B09E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yes, please specify (OF)</w:t>
            </w:r>
          </w:p>
        </w:tc>
      </w:tr>
      <w:tr w:rsidR="001C08CC" w:rsidRPr="00DB1920" w14:paraId="6EECC95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0D8CD5A5" w14:textId="68945CD5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6.2 Is discharge of follow-up regarding patients with CS related to remission status? (MC)</w:t>
            </w:r>
          </w:p>
        </w:tc>
      </w:tr>
      <w:tr w:rsidR="001C08CC" w:rsidRPr="00DB1920" w14:paraId="42EC27D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45A76C22" w14:textId="3E765A82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Discharge upon remission</w:t>
            </w:r>
          </w:p>
        </w:tc>
      </w:tr>
      <w:tr w:rsidR="001C08CC" w:rsidRPr="00DB1920" w14:paraId="66690C86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2F5837FF" w14:textId="345D5EE5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Discharge X months/years in remission</w:t>
            </w:r>
          </w:p>
        </w:tc>
      </w:tr>
      <w:tr w:rsidR="001C08CC" w:rsidRPr="00DB1920" w14:paraId="2C774B3F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124642A4" w14:textId="5F0EDADB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Not related to remission status, life-long follow-up</w:t>
            </w:r>
          </w:p>
        </w:tc>
      </w:tr>
      <w:tr w:rsidR="001C08CC" w:rsidRPr="00DB1920" w14:paraId="6DB8FC2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C6C6"/>
            <w:vAlign w:val="center"/>
          </w:tcPr>
          <w:p w14:paraId="769C8576" w14:textId="1452F13E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8CC">
              <w:rPr>
                <w:rFonts w:ascii="Times New Roman" w:hAnsi="Times New Roman" w:cs="Times New Roman"/>
                <w:sz w:val="24"/>
                <w:szCs w:val="24"/>
              </w:rPr>
              <w:t xml:space="preserve">Not related to remission status; patients are discharged </w:t>
            </w:r>
            <w:r w:rsidR="003B09BD" w:rsidRPr="00DB1920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1C08CC">
              <w:rPr>
                <w:rFonts w:ascii="Times New Roman" w:hAnsi="Times New Roman" w:cs="Times New Roman"/>
                <w:sz w:val="24"/>
                <w:szCs w:val="24"/>
              </w:rPr>
              <w:t xml:space="preserve"> follow up when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</w:p>
        </w:tc>
      </w:tr>
      <w:tr w:rsidR="00434C90" w:rsidRPr="00DB1920" w14:paraId="19774C1F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FF7474"/>
            <w:vAlign w:val="center"/>
          </w:tcPr>
          <w:p w14:paraId="44EED53D" w14:textId="76AF68EE" w:rsidR="00434C90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X and/or Y, please specify (OF)</w:t>
            </w:r>
          </w:p>
        </w:tc>
      </w:tr>
      <w:tr w:rsidR="001C08CC" w:rsidRPr="00DB1920" w14:paraId="0458013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A8D08D" w:themeFill="accent6" w:themeFillTint="99"/>
            <w:vAlign w:val="center"/>
          </w:tcPr>
          <w:p w14:paraId="46ECC540" w14:textId="6BD495DE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7. Do you consider CS a condition at high risk for cardio-metabolic diseases?</w:t>
            </w:r>
          </w:p>
        </w:tc>
      </w:tr>
      <w:tr w:rsidR="001C08CC" w:rsidRPr="00DB1920" w14:paraId="41C72A6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DA0ED95" w14:textId="57F5C921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1C08CC" w:rsidRPr="00DB1920" w14:paraId="563FAF2B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A8D08D" w:themeFill="accent6" w:themeFillTint="99"/>
            <w:vAlign w:val="center"/>
          </w:tcPr>
          <w:p w14:paraId="401DE750" w14:textId="3856CD1F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8.  When, according to you, patients with CS have increased CV risk factors? (MC, OF)</w:t>
            </w:r>
          </w:p>
        </w:tc>
      </w:tr>
      <w:tr w:rsidR="001C08CC" w:rsidRPr="00DB1920" w14:paraId="0E798010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790F0F9" w14:textId="7564EEB8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During active phase before diagnosis</w:t>
            </w:r>
          </w:p>
        </w:tc>
      </w:tr>
      <w:tr w:rsidR="001C08CC" w:rsidRPr="00DB1920" w14:paraId="67BDF5B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2E96BC2E" w14:textId="14FA69F5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While waiting for surgery</w:t>
            </w:r>
          </w:p>
        </w:tc>
      </w:tr>
      <w:tr w:rsidR="001C08CC" w:rsidRPr="00DB1920" w14:paraId="2F7B4C0F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F9FC5FC" w14:textId="35578A89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During medical therapy with cortisol lowering medication</w:t>
            </w:r>
          </w:p>
        </w:tc>
      </w:tr>
      <w:tr w:rsidR="001C08CC" w:rsidRPr="00DB1920" w14:paraId="28D147B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04C8DCF5" w14:textId="175D4ED5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Until 1 year after effective surger</w:t>
            </w:r>
            <w:r w:rsidR="003B09BD" w:rsidRPr="00DB192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C08CC" w:rsidRPr="00DB1920" w14:paraId="75D5231E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7DEC85C7" w14:textId="0A7B08C3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Until 5 years after effective surgery</w:t>
            </w:r>
          </w:p>
        </w:tc>
      </w:tr>
      <w:tr w:rsidR="001C08CC" w:rsidRPr="00DB1920" w14:paraId="3AF423BD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4380B031" w14:textId="4055DF99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They will be always at risk</w:t>
            </w:r>
          </w:p>
        </w:tc>
      </w:tr>
      <w:tr w:rsidR="001C08CC" w:rsidRPr="00DB1920" w14:paraId="6AEBEF57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26C9710" w14:textId="3D143578" w:rsidR="001C08CC" w:rsidRPr="00DB1920" w:rsidRDefault="001C08C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1C08CC" w:rsidRPr="00DB1920" w14:paraId="59A2525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A8D08D" w:themeFill="accent6" w:themeFillTint="99"/>
            <w:vAlign w:val="center"/>
          </w:tcPr>
          <w:p w14:paraId="08F27C97" w14:textId="24F0BB1C" w:rsidR="001C08CC" w:rsidRPr="00DB1920" w:rsidRDefault="001C08CC" w:rsidP="00D5331C">
            <w:pPr>
              <w:spacing w:line="276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9. In your opinion, cardiovascular risk is related to the severity of hypercortisolism?</w:t>
            </w:r>
          </w:p>
        </w:tc>
      </w:tr>
      <w:tr w:rsidR="001C08CC" w:rsidRPr="00DB1920" w14:paraId="1CB7C6C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0F647A62" w14:textId="7814997C" w:rsidR="001C08CC" w:rsidRPr="00DB1920" w:rsidRDefault="001C08CC" w:rsidP="00D5331C">
            <w:pPr>
              <w:spacing w:line="276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1C08CC" w:rsidRPr="00DB1920" w14:paraId="0D5E233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A8D08D" w:themeFill="accent6" w:themeFillTint="99"/>
            <w:vAlign w:val="center"/>
          </w:tcPr>
          <w:p w14:paraId="002E5ACD" w14:textId="58F631BE" w:rsidR="001C08CC" w:rsidRPr="00DB1920" w:rsidRDefault="001C08CC" w:rsidP="00D5331C">
            <w:pPr>
              <w:spacing w:line="276" w:lineRule="auto"/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10. What parameter do you use to stratify the degree of hypercortisolism?</w:t>
            </w:r>
            <w:r w:rsidR="00D61310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(MC, OF)</w:t>
            </w:r>
          </w:p>
        </w:tc>
      </w:tr>
      <w:tr w:rsidR="001C08CC" w:rsidRPr="00DB1920" w14:paraId="035BAC0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4E894653" w14:textId="4B1C20C1" w:rsidR="001C08CC" w:rsidRPr="00DB1920" w:rsidRDefault="00D6131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24h-Urinary free cortisol</w:t>
            </w:r>
          </w:p>
        </w:tc>
      </w:tr>
      <w:tr w:rsidR="001C08CC" w:rsidRPr="00DB1920" w14:paraId="082C663F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3BA01AAE" w14:textId="1894F358" w:rsidR="001C08CC" w:rsidRPr="00DB1920" w:rsidRDefault="00D6131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Late night serum cortisol</w:t>
            </w:r>
          </w:p>
        </w:tc>
      </w:tr>
      <w:tr w:rsidR="00D61310" w:rsidRPr="00DB1920" w14:paraId="344CE9A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B53AE27" w14:textId="2878ECC9" w:rsidR="00D61310" w:rsidRPr="00DB1920" w:rsidRDefault="00D6131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10">
              <w:rPr>
                <w:rFonts w:ascii="Times New Roman" w:hAnsi="Times New Roman" w:cs="Times New Roman"/>
                <w:sz w:val="24"/>
                <w:szCs w:val="24"/>
              </w:rPr>
              <w:t>Morning/late night salivary cortisol ratio</w:t>
            </w:r>
          </w:p>
        </w:tc>
      </w:tr>
      <w:tr w:rsidR="00D61310" w:rsidRPr="00DB1920" w14:paraId="3ACEFD4F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EA1A8A1" w14:textId="42209C5B" w:rsidR="00D61310" w:rsidRPr="00DB1920" w:rsidRDefault="00D61310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31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D61310" w:rsidRPr="00DB1920" w14:paraId="395AAADE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A8D08D" w:themeFill="accent6" w:themeFillTint="99"/>
            <w:vAlign w:val="center"/>
          </w:tcPr>
          <w:p w14:paraId="6109359D" w14:textId="57E6A692" w:rsidR="00D61310" w:rsidRPr="00DB1920" w:rsidRDefault="00D61310" w:rsidP="00D5331C">
            <w:pPr>
              <w:spacing w:line="276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11. Which of the following biochemical exams are included in baseline analysis of patients with CS? (MC, OF)</w:t>
            </w:r>
          </w:p>
        </w:tc>
      </w:tr>
      <w:tr w:rsidR="001C08CC" w:rsidRPr="00DB1920" w14:paraId="3677A14B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38086E2E" w14:textId="787490F5" w:rsidR="001C08CC" w:rsidRPr="00DB1920" w:rsidRDefault="00D61310" w:rsidP="00D5331C">
            <w:pPr>
              <w:spacing w:line="276" w:lineRule="auto"/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Fasting glycaemia, 2h post-prandial glycaemia, HbA1c, fasting insulin, OGTT, Lipid profile, Microalbuminuria, usPCR, Uric acid, BNP, complete blood count, Renal function (GFR), Ion</w:t>
            </w:r>
            <w:r w:rsidR="003B09BD" w:rsidRPr="00DB19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(Na, K, Mg, Ca), </w:t>
            </w:r>
            <w:r w:rsidR="004E6779">
              <w:rPr>
                <w:rFonts w:ascii="Times New Roman" w:hAnsi="Times New Roman" w:cs="Times New Roman"/>
                <w:sz w:val="24"/>
                <w:szCs w:val="24"/>
              </w:rPr>
              <w:t xml:space="preserve">and/or 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D61310" w:rsidRPr="00DB1920" w14:paraId="504DC5F9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235007F3" w14:textId="4327FCCA" w:rsidR="00D61310" w:rsidRPr="00DB1920" w:rsidRDefault="00660AC3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12. Arterial hypertension - How do you assess it?</w:t>
            </w:r>
            <w:r w:rsidR="004E6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(MC)</w:t>
            </w:r>
          </w:p>
        </w:tc>
      </w:tr>
      <w:tr w:rsidR="00D61310" w:rsidRPr="00DB1920" w14:paraId="5E95EC38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78FB5FC4" w14:textId="7773CBB1" w:rsidR="00D61310" w:rsidRPr="00DB1920" w:rsidRDefault="00660AC3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Office blood measurement (one measurement)</w:t>
            </w:r>
          </w:p>
        </w:tc>
      </w:tr>
      <w:tr w:rsidR="00660AC3" w:rsidRPr="00DB1920" w14:paraId="77C9F404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38C1A454" w14:textId="74BFA94F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Office blood measurement (mean of 3 measurements)</w:t>
            </w:r>
          </w:p>
        </w:tc>
      </w:tr>
      <w:tr w:rsidR="00D61310" w:rsidRPr="00DB1920" w14:paraId="04A6A5E5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7CCDF7C1" w14:textId="7A0DC3DE" w:rsidR="00D61310" w:rsidRPr="00DB1920" w:rsidRDefault="00660AC3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AC3">
              <w:rPr>
                <w:rFonts w:ascii="Times New Roman" w:hAnsi="Times New Roman" w:cs="Times New Roman"/>
                <w:sz w:val="24"/>
                <w:szCs w:val="24"/>
              </w:rPr>
              <w:t>Sitting and supine blood pressure assessment</w:t>
            </w:r>
          </w:p>
        </w:tc>
      </w:tr>
      <w:tr w:rsidR="00D61310" w:rsidRPr="00DB1920" w14:paraId="584303A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4721017D" w14:textId="70B7510D" w:rsidR="00D61310" w:rsidRPr="00DB1920" w:rsidRDefault="00D5331C" w:rsidP="00D533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Arterial blood pressure monitoring (24h)</w:t>
            </w:r>
          </w:p>
        </w:tc>
      </w:tr>
      <w:tr w:rsidR="00660AC3" w:rsidRPr="00DB1920" w14:paraId="044BDE84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1FB1D52D" w14:textId="6DA42626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C3">
              <w:rPr>
                <w:rFonts w:ascii="Times New Roman" w:hAnsi="Times New Roman" w:cs="Times New Roman"/>
                <w:sz w:val="24"/>
                <w:szCs w:val="24"/>
              </w:rPr>
              <w:t>Patients self-monitoring</w:t>
            </w:r>
          </w:p>
        </w:tc>
      </w:tr>
      <w:tr w:rsidR="00660AC3" w:rsidRPr="00DB1920" w14:paraId="441EFBA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16F4B05F" w14:textId="1A73E868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60AC3">
              <w:rPr>
                <w:rFonts w:ascii="Times New Roman" w:hAnsi="Times New Roman" w:cs="Times New Roman"/>
                <w:sz w:val="24"/>
                <w:szCs w:val="24"/>
              </w:rPr>
              <w:t>chocardiography</w:t>
            </w:r>
          </w:p>
        </w:tc>
      </w:tr>
      <w:tr w:rsidR="00660AC3" w:rsidRPr="00DB1920" w14:paraId="0C50E56A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0A4ECE66" w14:textId="1F257A01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Not routinely assessed</w:t>
            </w:r>
          </w:p>
        </w:tc>
      </w:tr>
      <w:tr w:rsidR="00660AC3" w:rsidRPr="00DB1920" w14:paraId="00417FA7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1843E8AA" w14:textId="05A2108E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13. Arterial hypertension - When do you assess it?</w:t>
            </w:r>
            <w:r w:rsidR="00AC415C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(MC, OF)</w:t>
            </w:r>
          </w:p>
        </w:tc>
      </w:tr>
      <w:tr w:rsidR="00660AC3" w:rsidRPr="00DB1920" w14:paraId="7FD432DA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603F84BD" w14:textId="0C7B4152" w:rsidR="00660AC3" w:rsidRPr="00DB1920" w:rsidRDefault="00660AC3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CS diagnosis</w:t>
            </w:r>
          </w:p>
        </w:tc>
      </w:tr>
      <w:tr w:rsidR="00660AC3" w:rsidRPr="00DB1920" w14:paraId="1C0DEC34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364BFBF6" w14:textId="6FA46D17" w:rsidR="00660AC3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3-6 months after surgery (pituitary or adrenal or NET)</w:t>
            </w:r>
          </w:p>
        </w:tc>
      </w:tr>
      <w:tr w:rsidR="00660AC3" w:rsidRPr="00DB1920" w14:paraId="34CB28E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033C2103" w14:textId="627972D6" w:rsidR="00660AC3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Regularly during medical treatment only for persistent/recurrent CS or </w:t>
            </w:r>
            <w:r w:rsidR="003B09BD" w:rsidRPr="00DB1920">
              <w:rPr>
                <w:rFonts w:ascii="Times New Roman" w:hAnsi="Times New Roman" w:cs="Times New Roman"/>
                <w:sz w:val="24"/>
                <w:szCs w:val="24"/>
              </w:rPr>
              <w:t>not amenable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for surgery (specify the time of regular follow-up)</w:t>
            </w:r>
          </w:p>
        </w:tc>
      </w:tr>
      <w:tr w:rsidR="00660AC3" w:rsidRPr="00DB1920" w14:paraId="73DB3E7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03E49957" w14:textId="2C41467B" w:rsidR="00660AC3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diagnosis and regularly during follow-up in both remittent and persistent CS</w:t>
            </w:r>
          </w:p>
        </w:tc>
      </w:tr>
      <w:tr w:rsidR="00660AC3" w:rsidRPr="00DB1920" w14:paraId="5D728B5A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75807E19" w14:textId="59AB3DED" w:rsidR="00660AC3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660AC3" w:rsidRPr="00DB1920" w14:paraId="617A7C91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2A001D8D" w14:textId="43D5E370" w:rsidR="00660AC3" w:rsidRPr="00DB1920" w:rsidRDefault="00AC415C" w:rsidP="00D5331C">
            <w:pPr>
              <w:rPr>
                <w:rFonts w:ascii="inherit" w:eastAsia="Times New Roman" w:hAnsi="inherit" w:cs="Helvetica"/>
                <w:color w:val="333333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14. Arterial hypertension - Which is the target to achieve? (OF)</w:t>
            </w:r>
          </w:p>
        </w:tc>
      </w:tr>
      <w:tr w:rsidR="00AC415C" w:rsidRPr="00DB1920" w14:paraId="2A09BBE0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7192DBDE" w14:textId="69C8EAE9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Systolic &lt; 120 diastolic &lt; 80 mmHg?</w:t>
            </w:r>
          </w:p>
        </w:tc>
      </w:tr>
      <w:tr w:rsidR="00AC415C" w:rsidRPr="00DB1920" w14:paraId="0102B1A9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0A808F36" w14:textId="6CA518D8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Systolic &lt; 130 diastolic &lt; 80 mmHg?</w:t>
            </w:r>
          </w:p>
        </w:tc>
      </w:tr>
      <w:tr w:rsidR="00AC415C" w:rsidRPr="00DB1920" w14:paraId="7F40E3B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5D3CC43B" w14:textId="640014AB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Systolic &lt; 140 diastolic &lt; 90 mmHg?</w:t>
            </w:r>
          </w:p>
        </w:tc>
      </w:tr>
      <w:tr w:rsidR="00AC415C" w:rsidRPr="00DB1920" w14:paraId="33A419E7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3F44209E" w14:textId="2E244957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AC415C" w:rsidRPr="00DB1920" w14:paraId="558EE3B1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782F9C5F" w14:textId="10119BC3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15. Which is your first-choice treatment for hypertension in CS? (OF)</w:t>
            </w:r>
          </w:p>
        </w:tc>
      </w:tr>
      <w:tr w:rsidR="00AC415C" w:rsidRPr="00DB1920" w14:paraId="248CF425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4DD2A190" w14:textId="6BD08967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Angiotensin converting enzyme inhibitors</w:t>
            </w:r>
            <w:r w:rsidR="00A470A9" w:rsidRPr="00DB1920">
              <w:rPr>
                <w:rFonts w:ascii="Times New Roman" w:hAnsi="Times New Roman" w:cs="Times New Roman"/>
                <w:sz w:val="24"/>
                <w:szCs w:val="24"/>
              </w:rPr>
              <w:t>, Angiotensin receptor blockers, Mineralocorticoid receptor antagonists, Calcium-channel blockers, Beta-blockers or Others, please specify</w:t>
            </w:r>
          </w:p>
        </w:tc>
      </w:tr>
      <w:tr w:rsidR="00AC415C" w:rsidRPr="00DB1920" w14:paraId="661228E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06BB9A11" w14:textId="278E718D" w:rsidR="00AC415C" w:rsidRPr="00DB1920" w:rsidRDefault="00AC415C" w:rsidP="00D5331C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16. How many patients reduce drugs for hypertension after effective surgery? (OF)</w:t>
            </w:r>
          </w:p>
        </w:tc>
      </w:tr>
      <w:tr w:rsidR="00AC415C" w:rsidRPr="00DB1920" w14:paraId="63047B3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33551B48" w14:textId="5E7F114F" w:rsidR="00AC415C" w:rsidRPr="00DB1920" w:rsidRDefault="00AC415C" w:rsidP="00D5331C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&lt;25%, 25-50%, 50-75%, &gt; 75% or Others, please specify</w:t>
            </w:r>
          </w:p>
        </w:tc>
      </w:tr>
      <w:tr w:rsidR="00AC415C" w:rsidRPr="00DB1920" w14:paraId="79C666E5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50E19964" w14:textId="7F260794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17. In your experience, how many patients experience complete recovery from hypertension after surgery? (OF)</w:t>
            </w:r>
          </w:p>
        </w:tc>
      </w:tr>
      <w:tr w:rsidR="00AC415C" w:rsidRPr="00DB1920" w14:paraId="6838C1A6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3362969D" w14:textId="21CEF0B3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100%, 75%, 50%, 25%, or Others, please specify</w:t>
            </w:r>
          </w:p>
        </w:tc>
      </w:tr>
      <w:tr w:rsidR="00AC415C" w:rsidRPr="00DB1920" w14:paraId="2DEBFAC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4F453AC2" w14:textId="3F1FFA15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18.1 How many patients reduce drugs for hypertension while on cortisol lowering medications?</w:t>
            </w:r>
            <w:r w:rsidR="004E67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AC415C" w:rsidRPr="00DB1920" w14:paraId="678235B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5CE20FBA" w14:textId="0FAE897C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&lt;25%, 25-50%, 50-75%, &gt; 75% or Others, please specify</w:t>
            </w:r>
          </w:p>
        </w:tc>
      </w:tr>
      <w:tr w:rsidR="00AC415C" w:rsidRPr="00DB1920" w14:paraId="0345F9C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05FE2E61" w14:textId="1441EFD6" w:rsidR="00AC415C" w:rsidRPr="00DB1920" w:rsidRDefault="00AC415C" w:rsidP="00D5331C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18.2 Does the presence of arterial hypertension modify your choice of cortisol-reducing medication for patients with recurrent/persistent disease?</w:t>
            </w:r>
          </w:p>
        </w:tc>
      </w:tr>
      <w:tr w:rsidR="00AC415C" w:rsidRPr="00DB1920" w14:paraId="0688EBC3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02E0D646" w14:textId="62D9C6C9" w:rsidR="00AC415C" w:rsidRPr="00DB1920" w:rsidRDefault="00AC415C" w:rsidP="00D5331C">
            <w:pPr>
              <w:rPr>
                <w:rFonts w:ascii="inherit" w:eastAsia="Times New Roman" w:hAnsi="inherit" w:cs="Helvetica"/>
                <w:color w:val="333333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AC415C" w:rsidRPr="00DB1920" w14:paraId="4F4C2B82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20509AB7" w14:textId="168B4D4F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yes, please specify (MC)</w:t>
            </w:r>
          </w:p>
        </w:tc>
      </w:tr>
      <w:tr w:rsidR="00AC415C" w:rsidRPr="00DB1920" w14:paraId="1401E73C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C5D3FF"/>
            <w:vAlign w:val="center"/>
          </w:tcPr>
          <w:p w14:paraId="57DF6A55" w14:textId="480F7483" w:rsidR="00AC415C" w:rsidRPr="004E6779" w:rsidRDefault="00AC415C" w:rsidP="00D533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67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Ketoconazole, Metyrapone, Cabergoline, Pasireotide, Mitotane, Osilodrostat, Levo</w:t>
            </w:r>
            <w:r w:rsidR="00D5331C" w:rsidRPr="004E67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Pr="004E67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ketoconazole,</w:t>
            </w:r>
          </w:p>
          <w:p w14:paraId="62528D41" w14:textId="1FCDE0F4" w:rsidR="00AC415C" w:rsidRPr="00DB1920" w:rsidRDefault="00AC415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Mifepristone, Etomidate and/or Combined therapy</w:t>
            </w:r>
          </w:p>
        </w:tc>
      </w:tr>
      <w:tr w:rsidR="00AC415C" w:rsidRPr="00DB1920" w14:paraId="3B403CD7" w14:textId="77777777" w:rsidTr="003B09BD">
        <w:trPr>
          <w:trHeight w:val="454"/>
          <w:jc w:val="center"/>
        </w:trPr>
        <w:tc>
          <w:tcPr>
            <w:tcW w:w="9639" w:type="dxa"/>
            <w:shd w:val="clear" w:color="auto" w:fill="909EE6"/>
            <w:vAlign w:val="center"/>
          </w:tcPr>
          <w:p w14:paraId="117471D9" w14:textId="2BCF1819" w:rsidR="00AC415C" w:rsidRPr="00DB1920" w:rsidRDefault="00D5331C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If Combined therapy, please specify (OF)</w:t>
            </w:r>
          </w:p>
        </w:tc>
      </w:tr>
      <w:tr w:rsidR="00D5331C" w:rsidRPr="00DB1920" w14:paraId="5EB1A196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11DCCD03" w14:textId="3333493E" w:rsidR="00D5331C" w:rsidRPr="00DB1920" w:rsidRDefault="003B09BD" w:rsidP="00D533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19. Do you routinely evaluate glucose metabolism in CS patients?</w:t>
            </w:r>
          </w:p>
        </w:tc>
      </w:tr>
      <w:tr w:rsidR="00D5331C" w:rsidRPr="00DB1920" w14:paraId="43403A21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4550AE6C" w14:textId="3288B507" w:rsidR="00D5331C" w:rsidRPr="00DB1920" w:rsidRDefault="003B09BD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D5331C" w:rsidRPr="00DB1920" w14:paraId="576D1947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4619660F" w14:textId="588352DF" w:rsidR="00D5331C" w:rsidRPr="00DB1920" w:rsidRDefault="003B09BD" w:rsidP="00D533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20. Do you always ask for familiar history of diabetes mellitus to your CS patients?</w:t>
            </w:r>
          </w:p>
        </w:tc>
      </w:tr>
      <w:tr w:rsidR="00D5331C" w:rsidRPr="00DB1920" w14:paraId="70EC5B80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29DF271D" w14:textId="6A8E6350" w:rsidR="00D5331C" w:rsidRPr="00DB1920" w:rsidRDefault="003B09BD" w:rsidP="00D533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D5331C" w:rsidRPr="00DB1920" w14:paraId="76F2F8DF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4CABD40E" w14:textId="5A228396" w:rsidR="00D5331C" w:rsidRPr="00DB1920" w:rsidRDefault="003B09BD" w:rsidP="00D5331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21. Glucose metabolism - How do you assess it? (MC)</w:t>
            </w:r>
          </w:p>
        </w:tc>
      </w:tr>
      <w:tr w:rsidR="00D5331C" w:rsidRPr="00DB1920" w14:paraId="5C6E1156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7A9C6225" w14:textId="13734051" w:rsidR="00D5331C" w:rsidRPr="00DB1920" w:rsidRDefault="003B09BD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Morning fasting serum glucose</w:t>
            </w:r>
          </w:p>
        </w:tc>
      </w:tr>
      <w:tr w:rsidR="00D5331C" w:rsidRPr="00DB1920" w14:paraId="21103C83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0BDC64B5" w14:textId="24185AF5" w:rsidR="00D5331C" w:rsidRPr="00DB1920" w:rsidRDefault="003B09BD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2-hours post-prandial glucose</w:t>
            </w:r>
          </w:p>
        </w:tc>
      </w:tr>
      <w:tr w:rsidR="00D5331C" w:rsidRPr="00DB1920" w14:paraId="4EEC08F5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0F627340" w14:textId="7243E72D" w:rsidR="00D5331C" w:rsidRPr="00DB1920" w:rsidRDefault="003B09BD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HOMA-IR</w:t>
            </w:r>
          </w:p>
        </w:tc>
      </w:tr>
      <w:tr w:rsidR="00D5331C" w:rsidRPr="00DB1920" w14:paraId="61DE7673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682801EB" w14:textId="123786AF" w:rsidR="00D5331C" w:rsidRPr="00DB1920" w:rsidRDefault="003B09BD" w:rsidP="003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2-hours oral glucose tolerance test for glucose and insulin</w:t>
            </w:r>
          </w:p>
        </w:tc>
      </w:tr>
      <w:tr w:rsidR="00D5331C" w:rsidRPr="00DB1920" w14:paraId="4883E597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736A1A67" w14:textId="77369C8C" w:rsidR="00D5331C" w:rsidRPr="00DB1920" w:rsidRDefault="003B09BD" w:rsidP="00D5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</w:tr>
      <w:tr w:rsidR="00AC415C" w:rsidRPr="00DB1920" w14:paraId="4A37BAA6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  <w:hideMark/>
          </w:tcPr>
          <w:p w14:paraId="2B21C964" w14:textId="0DEA8372" w:rsidR="00AC415C" w:rsidRPr="00DB1920" w:rsidRDefault="003B09BD" w:rsidP="003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Not assessed</w:t>
            </w:r>
          </w:p>
        </w:tc>
      </w:tr>
      <w:tr w:rsidR="003B09BD" w:rsidRPr="00DB1920" w14:paraId="72D28B51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45449345" w14:textId="3447D5C1" w:rsidR="003B09BD" w:rsidRPr="00DB1920" w:rsidRDefault="003B09BD" w:rsidP="00D5331C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22. Glucose metabolism - When do you assess it? (MC, OF)</w:t>
            </w:r>
          </w:p>
        </w:tc>
      </w:tr>
      <w:tr w:rsidR="003B09BD" w:rsidRPr="00DB1920" w14:paraId="5E0BF2BB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61D5B19E" w14:textId="7EDC1260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CS diagnosis</w:t>
            </w:r>
          </w:p>
        </w:tc>
      </w:tr>
      <w:tr w:rsidR="003B09BD" w:rsidRPr="00DB1920" w14:paraId="6BEE3180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36F4E47C" w14:textId="5BB9F638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3-6 months after surgery (pituitary or adrenal or NET)</w:t>
            </w:r>
          </w:p>
        </w:tc>
      </w:tr>
      <w:tr w:rsidR="003B09BD" w:rsidRPr="00DB1920" w14:paraId="0CF3AC2C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51A39E10" w14:textId="08279A3D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Regularly during medical treatment only for persistent/recurrent CS or not amenable for surgery (specify the time of regular follow-up)</w:t>
            </w:r>
          </w:p>
        </w:tc>
      </w:tr>
      <w:tr w:rsidR="003B09BD" w:rsidRPr="00DB1920" w14:paraId="56FA9E47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719407C2" w14:textId="7254CC1B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diagnosis and regularly during follow-up in both remittent and persistent CS</w:t>
            </w:r>
          </w:p>
        </w:tc>
      </w:tr>
      <w:tr w:rsidR="003B09BD" w:rsidRPr="00DB1920" w14:paraId="1A3B6B94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225B0E2C" w14:textId="3A271F9F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3B09BD" w:rsidRPr="00DB1920" w14:paraId="3A288063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0C2D1FC5" w14:textId="139CA1A4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23. Which is your first-choice treatment for CS patients with diabetes at diagnosis? (OF)</w:t>
            </w:r>
          </w:p>
        </w:tc>
      </w:tr>
      <w:tr w:rsidR="003B09BD" w:rsidRPr="00DB1920" w14:paraId="49445124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32177731" w14:textId="42E76E2B" w:rsidR="003B09BD" w:rsidRPr="00DB1920" w:rsidRDefault="003B09BD" w:rsidP="003B09BD">
            <w:pPr>
              <w:spacing w:line="276" w:lineRule="auto"/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Metformin</w:t>
            </w:r>
            <w:r w:rsidR="00A470A9" w:rsidRPr="00DB1920">
              <w:rPr>
                <w:rFonts w:ascii="Times New Roman" w:hAnsi="Times New Roman" w:cs="Times New Roman"/>
                <w:sz w:val="24"/>
                <w:szCs w:val="24"/>
              </w:rPr>
              <w:t>, GLP-1 analogues, DDP-IV inhibitors, SGLT2 inhibitors, insulin, or Others, please specify</w:t>
            </w:r>
          </w:p>
        </w:tc>
      </w:tr>
      <w:tr w:rsidR="003B09BD" w:rsidRPr="00DB1920" w14:paraId="482A028D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138DF62E" w14:textId="3A4BB8F1" w:rsidR="003B09BD" w:rsidRPr="00DB1920" w:rsidRDefault="003B09BD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24. Which is your first-choice treatment for diabetes in CS for during persistent/recurrent CD or not-amenable for surgery?</w:t>
            </w:r>
            <w:r w:rsidR="00A470A9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3B09BD" w:rsidRPr="00DB1920" w14:paraId="08DE9606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273DCC97" w14:textId="20B1D7A1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Metformin, GLP-1 analogues, DDP-IV inhibitors, SGLT2 inhibitors, insulin, or Others, please specify</w:t>
            </w:r>
          </w:p>
        </w:tc>
      </w:tr>
      <w:tr w:rsidR="003B09BD" w:rsidRPr="00DB1920" w14:paraId="043CBF81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59E6BF10" w14:textId="0602D649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25.1 Are there any restrictions to the prescription of some antidiabetic classes in your Country?</w:t>
            </w:r>
          </w:p>
        </w:tc>
      </w:tr>
      <w:tr w:rsidR="003B09BD" w:rsidRPr="00DB1920" w14:paraId="0DBC5E18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2B2A383E" w14:textId="6C013549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3B09BD" w:rsidRPr="00DB1920" w14:paraId="05B31976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2FF283B2" w14:textId="65402EBF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25.2 If Yes to the above question, if you could prescribe any anti-diabetic medication without them, what would your first choice be?</w:t>
            </w:r>
            <w:r w:rsidR="00AD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3B09BD" w:rsidRPr="00DB1920" w14:paraId="56A5AB44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7F4A0B6F" w14:textId="3586C82B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Metformin, GLP-1 analogues, DDP-IV inhibitors, SGLT2 inhibitors, insulin, or Others, please specify</w:t>
            </w:r>
          </w:p>
        </w:tc>
      </w:tr>
      <w:tr w:rsidR="003B09BD" w:rsidRPr="00DB1920" w14:paraId="4C9EB087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2CA838FB" w14:textId="647E1362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25.3 In your experience, how many patients experience complete recovery from diabetes after surgery?</w:t>
            </w:r>
            <w:r w:rsidR="00AD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3B09BD" w:rsidRPr="00DB1920" w14:paraId="7EE42D15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7EE6FF7C" w14:textId="493D51CF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100%, 75%, 50%, 25%, or Others, please specify</w:t>
            </w:r>
          </w:p>
        </w:tc>
      </w:tr>
      <w:tr w:rsidR="003B09BD" w:rsidRPr="00DB1920" w14:paraId="7D56153A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12A27458" w14:textId="53AC0A5C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25.4 Which is the target to achieve?</w:t>
            </w:r>
            <w:r w:rsidR="00EF65F4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3B09BD" w:rsidRPr="00DB1920" w14:paraId="4C89AB6A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6A795A4A" w14:textId="33437655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HbA1c below 42, 48, 53,</w:t>
            </w:r>
            <w:r w:rsidR="00EF65F4"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F65F4"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mmol/l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or Others, please specify</w:t>
            </w:r>
          </w:p>
        </w:tc>
      </w:tr>
      <w:tr w:rsidR="003B09BD" w:rsidRPr="00DB1920" w14:paraId="07F6E073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5881D5E0" w14:textId="51559FF1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25.</w:t>
            </w:r>
            <w:r w:rsidR="00EF65F4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Does the presence of DM modify your choice of cortisol-reducing medication for patients with recurrent/persistent disease?</w:t>
            </w:r>
          </w:p>
        </w:tc>
      </w:tr>
      <w:tr w:rsidR="003B09BD" w:rsidRPr="00DB1920" w14:paraId="09AC2D8A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250D48BC" w14:textId="3E8E4649" w:rsidR="003B09BD" w:rsidRPr="00DB1920" w:rsidRDefault="00A470A9" w:rsidP="003B09B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A470A9" w:rsidRPr="00DB1920" w14:paraId="34FE4E3B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2D5BC76C" w14:textId="730D45AA" w:rsidR="00A470A9" w:rsidRPr="00DB1920" w:rsidRDefault="00A470A9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yes, please specify (MC)</w:t>
            </w:r>
          </w:p>
        </w:tc>
      </w:tr>
      <w:tr w:rsidR="00A470A9" w:rsidRPr="00DB1920" w14:paraId="354F5352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E599" w:themeFill="accent4" w:themeFillTint="66"/>
            <w:vAlign w:val="center"/>
          </w:tcPr>
          <w:p w14:paraId="61496A73" w14:textId="77777777" w:rsidR="00A470A9" w:rsidRPr="004E6779" w:rsidRDefault="00A470A9" w:rsidP="00A470A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E677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Ketoconazole, Metyrapone, Cabergoline, Pasireotide, Mitotane, Osilodrostat, Levo-ketoconazole,</w:t>
            </w:r>
          </w:p>
          <w:p w14:paraId="1B0BF8AA" w14:textId="5885A2B4" w:rsidR="00A470A9" w:rsidRPr="00DB1920" w:rsidRDefault="00A470A9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Mifepristone, Etomidate and/or Combined therapy</w:t>
            </w:r>
          </w:p>
        </w:tc>
      </w:tr>
      <w:tr w:rsidR="00A470A9" w:rsidRPr="00DB1920" w14:paraId="06A8F86F" w14:textId="77777777" w:rsidTr="00EF65F4">
        <w:trPr>
          <w:trHeight w:val="454"/>
          <w:jc w:val="center"/>
        </w:trPr>
        <w:tc>
          <w:tcPr>
            <w:tcW w:w="9639" w:type="dxa"/>
            <w:shd w:val="clear" w:color="auto" w:fill="FFCE3C"/>
            <w:vAlign w:val="center"/>
          </w:tcPr>
          <w:p w14:paraId="3F3C4828" w14:textId="19BFC6EF" w:rsidR="00A470A9" w:rsidRPr="00DB1920" w:rsidRDefault="00A470A9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Combined therapy, please specify (OF)</w:t>
            </w:r>
          </w:p>
        </w:tc>
      </w:tr>
      <w:tr w:rsidR="00EF65F4" w:rsidRPr="00DB1920" w14:paraId="36B01C12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</w:tcPr>
          <w:p w14:paraId="2AD13377" w14:textId="0F858686" w:rsidR="00EF65F4" w:rsidRPr="00DB1920" w:rsidRDefault="00EF65F4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26. Do you routinely assess lipid metabolism in CS?</w:t>
            </w:r>
          </w:p>
        </w:tc>
      </w:tr>
      <w:tr w:rsidR="00EF65F4" w:rsidRPr="00DB1920" w14:paraId="18B2937F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48E1C796" w14:textId="7F2EB5F4" w:rsidR="00EF65F4" w:rsidRPr="00DB1920" w:rsidRDefault="00EF65F4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EF65F4" w:rsidRPr="00DB1920" w14:paraId="6FAF6623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</w:tcPr>
          <w:p w14:paraId="5307DCD3" w14:textId="70FAC050" w:rsidR="00EF65F4" w:rsidRPr="00DB1920" w:rsidRDefault="00EF65F4" w:rsidP="00A470A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27.</w:t>
            </w:r>
            <w:r w:rsidR="00E701F1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Lipid metabolism -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When do you assess it?</w:t>
            </w:r>
            <w:r w:rsidR="00E701F1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(MC, OF)</w:t>
            </w:r>
          </w:p>
        </w:tc>
      </w:tr>
      <w:tr w:rsidR="00E701F1" w:rsidRPr="00DB1920" w14:paraId="241A403A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13AB0CE4" w14:textId="1083F11F" w:rsidR="00E701F1" w:rsidRPr="00DB1920" w:rsidRDefault="00E701F1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CS diagnosis</w:t>
            </w:r>
          </w:p>
        </w:tc>
      </w:tr>
      <w:tr w:rsidR="00E701F1" w:rsidRPr="00DB1920" w14:paraId="43140F24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1964977B" w14:textId="30C5E165" w:rsidR="00E701F1" w:rsidRPr="00DB1920" w:rsidRDefault="00E701F1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3-6 months after surgery (pituitary or adrenal or NET)</w:t>
            </w:r>
          </w:p>
        </w:tc>
      </w:tr>
      <w:tr w:rsidR="00E701F1" w:rsidRPr="00DB1920" w14:paraId="4E85220E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1B4F5BE5" w14:textId="32649CD6" w:rsidR="00E701F1" w:rsidRPr="00DB1920" w:rsidRDefault="00E701F1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Regularly during medical treatment only for persistent/recurrent CS or not amenable for surgery (specify the time of regular follow-up)</w:t>
            </w:r>
          </w:p>
        </w:tc>
      </w:tr>
      <w:tr w:rsidR="00E701F1" w:rsidRPr="00DB1920" w14:paraId="0C165676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  <w:hideMark/>
          </w:tcPr>
          <w:p w14:paraId="20CA4DC6" w14:textId="58E1799C" w:rsidR="00E701F1" w:rsidRPr="00DB1920" w:rsidRDefault="00E701F1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diagnosis and regularly during follow-up in both remittent and persistent CS</w:t>
            </w:r>
          </w:p>
        </w:tc>
      </w:tr>
      <w:tr w:rsidR="00E701F1" w:rsidRPr="00DB1920" w14:paraId="1F3DE48B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  <w:hideMark/>
          </w:tcPr>
          <w:p w14:paraId="4FFFB133" w14:textId="5F031D98" w:rsidR="00E701F1" w:rsidRPr="00DB1920" w:rsidRDefault="00E701F1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E701F1" w:rsidRPr="00DB1920" w14:paraId="4A0A9AF1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  <w:hideMark/>
          </w:tcPr>
          <w:p w14:paraId="24757B5E" w14:textId="4A22056C" w:rsidR="00E701F1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28. In which cases do you prescribe lipid lowering medications in CS? (OF)</w:t>
            </w:r>
          </w:p>
        </w:tc>
      </w:tr>
      <w:tr w:rsidR="00CA6DCF" w:rsidRPr="00DB1920" w14:paraId="1C5C631D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653AD077" w14:textId="120499E1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Total cholesterol &gt; 200 mg/dl</w:t>
            </w:r>
          </w:p>
        </w:tc>
      </w:tr>
      <w:tr w:rsidR="00CA6DCF" w:rsidRPr="00DB1920" w14:paraId="7B79387B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4F8D516A" w14:textId="472537A7" w:rsidR="00CA6DCF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LDL </w:t>
            </w:r>
            <w:r w:rsidR="00AD5E21" w:rsidRPr="00DB1920"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&gt; 150 mg/dl</w:t>
            </w:r>
          </w:p>
        </w:tc>
      </w:tr>
      <w:tr w:rsidR="00CA6DCF" w:rsidRPr="00DB1920" w14:paraId="426ADB5F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557346AA" w14:textId="7CBC3380" w:rsidR="00CA6DCF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Triglycerides &gt; 150 mg/dl</w:t>
            </w:r>
          </w:p>
        </w:tc>
      </w:tr>
      <w:tr w:rsidR="00CA6DCF" w:rsidRPr="00DB1920" w14:paraId="35295157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6959CD63" w14:textId="5B109FE6" w:rsidR="00CA6DCF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Always in CS</w:t>
            </w:r>
          </w:p>
        </w:tc>
      </w:tr>
      <w:tr w:rsidR="00CA6DCF" w:rsidRPr="00DB1920" w14:paraId="49EB7552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78C57376" w14:textId="1F123D1D" w:rsidR="00CA6DCF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CA6DCF" w:rsidRPr="00DB1920" w14:paraId="3225E1D1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</w:tcPr>
          <w:p w14:paraId="589047F8" w14:textId="039657DB" w:rsidR="00CA6DCF" w:rsidRPr="00DB1920" w:rsidRDefault="00CA6DCF" w:rsidP="00E701F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29. What is your treatment goal for </w:t>
            </w:r>
            <w:r w:rsidR="00AD5E21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dyslipidaemia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 CS? (OF)</w:t>
            </w:r>
          </w:p>
        </w:tc>
      </w:tr>
      <w:tr w:rsidR="00CA6DCF" w:rsidRPr="00DB1920" w14:paraId="5CB0F170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3BEBB5F9" w14:textId="4E092289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cholesterol &lt;200 mg/L, LDL cholesterol &lt; 100, 70, 55</w:t>
            </w:r>
            <w:r w:rsidR="00AD5E21">
              <w:rPr>
                <w:rFonts w:ascii="Times New Roman" w:hAnsi="Times New Roman" w:cs="Times New Roman"/>
                <w:sz w:val="24"/>
                <w:szCs w:val="24"/>
              </w:rPr>
              <w:t xml:space="preserve"> or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40 mg/L, Triglycerides &lt; 150 mg/dl, or Others, please specify</w:t>
            </w:r>
          </w:p>
        </w:tc>
      </w:tr>
      <w:tr w:rsidR="00CA6DCF" w:rsidRPr="00DB1920" w14:paraId="503AED8C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</w:tcPr>
          <w:p w14:paraId="1C1AEE76" w14:textId="6BB3ACBF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30. Which is your first-choice treatment for </w:t>
            </w:r>
            <w:r w:rsidR="00AD5E21"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dyslipidaemia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 CS? (OF)</w:t>
            </w:r>
          </w:p>
        </w:tc>
      </w:tr>
      <w:tr w:rsidR="00CA6DCF" w:rsidRPr="00DB1920" w14:paraId="6C8592C9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6C49F695" w14:textId="4F7EC905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Dietary indications and physical exercise, statin, statin + ezetimibe, fenofibrate, PCSK</w:t>
            </w:r>
            <w:r w:rsidR="00AD5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9 inhibitors, or Others, please specify</w:t>
            </w:r>
          </w:p>
        </w:tc>
      </w:tr>
      <w:tr w:rsidR="00CA6DCF" w:rsidRPr="00DB1920" w14:paraId="1C74D46D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C189F7"/>
            <w:vAlign w:val="center"/>
            <w:hideMark/>
          </w:tcPr>
          <w:p w14:paraId="13E6E892" w14:textId="608BE013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31. After surgical remission do you withdraw lipid lowering medication and reassess cardiovascular risk?</w:t>
            </w:r>
          </w:p>
        </w:tc>
      </w:tr>
      <w:tr w:rsidR="00CA6DCF" w:rsidRPr="00DB1920" w14:paraId="092A7854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  <w:hideMark/>
          </w:tcPr>
          <w:p w14:paraId="49061398" w14:textId="33F24BC9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within 3 months after successful surgery and re-test the patient</w:t>
            </w:r>
          </w:p>
        </w:tc>
      </w:tr>
      <w:tr w:rsidR="00CA6DCF" w:rsidRPr="00DB1920" w14:paraId="471A969D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  <w:hideMark/>
          </w:tcPr>
          <w:p w14:paraId="3D56D448" w14:textId="23187E8C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Yes, but only after 1 year of CS remission</w:t>
            </w:r>
          </w:p>
        </w:tc>
      </w:tr>
      <w:tr w:rsidR="00CA6DCF" w:rsidRPr="00DB1920" w14:paraId="3A3AC075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  <w:hideMark/>
          </w:tcPr>
          <w:p w14:paraId="6210D14F" w14:textId="0DBCCE7E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I consider </w:t>
            </w:r>
            <w:r w:rsidR="00463771" w:rsidRPr="00DB1920">
              <w:rPr>
                <w:rFonts w:ascii="Times New Roman" w:hAnsi="Times New Roman" w:cs="Times New Roman"/>
                <w:sz w:val="24"/>
                <w:szCs w:val="24"/>
              </w:rPr>
              <w:t>suspending</w:t>
            </w: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 xml:space="preserve"> the treatment only if other comorbidities disappeared</w:t>
            </w:r>
          </w:p>
        </w:tc>
      </w:tr>
      <w:tr w:rsidR="00CA6DCF" w:rsidRPr="00DB1920" w14:paraId="4C4BE146" w14:textId="77777777" w:rsidTr="00463771">
        <w:trPr>
          <w:trHeight w:val="454"/>
          <w:jc w:val="center"/>
        </w:trPr>
        <w:tc>
          <w:tcPr>
            <w:tcW w:w="9639" w:type="dxa"/>
            <w:shd w:val="clear" w:color="auto" w:fill="F6C3FF"/>
            <w:vAlign w:val="center"/>
          </w:tcPr>
          <w:p w14:paraId="7AF60C89" w14:textId="7250590A" w:rsidR="00CA6DCF" w:rsidRPr="00DB1920" w:rsidRDefault="00CA6DCF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No, I keep the medications</w:t>
            </w:r>
          </w:p>
        </w:tc>
      </w:tr>
      <w:tr w:rsidR="00CA6DCF" w:rsidRPr="00DB1920" w14:paraId="369C5C2F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4B083" w:themeFill="accent2" w:themeFillTint="99"/>
            <w:vAlign w:val="center"/>
            <w:hideMark/>
          </w:tcPr>
          <w:p w14:paraId="160E1DDD" w14:textId="4DF2AA32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32. Do you consider CS a condition at high risk for cardio- and cerebro</w:t>
            </w:r>
            <w:r w:rsidR="00AD5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vascular diseases?</w:t>
            </w:r>
          </w:p>
        </w:tc>
      </w:tr>
      <w:tr w:rsidR="00CA6DCF" w:rsidRPr="00DB1920" w14:paraId="5B50A2E7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27895A0E" w14:textId="04C01847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CA6DCF" w:rsidRPr="00DB1920" w14:paraId="1E4ED8E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4B083" w:themeFill="accent2" w:themeFillTint="99"/>
            <w:vAlign w:val="center"/>
            <w:hideMark/>
          </w:tcPr>
          <w:p w14:paraId="3F864D43" w14:textId="0A53E189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33. Do you routinely screen your patient with CS for cardio- and cerebrovascular diseases?</w:t>
            </w:r>
          </w:p>
        </w:tc>
      </w:tr>
      <w:tr w:rsidR="00CA6DCF" w:rsidRPr="00DB1920" w14:paraId="38AF983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51E426C1" w14:textId="1B9E0B87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only active CS</w:t>
            </w:r>
          </w:p>
        </w:tc>
      </w:tr>
      <w:tr w:rsidR="00CA6DCF" w:rsidRPr="00DB1920" w14:paraId="2CA46F3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436FA1F1" w14:textId="6AC923F5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all CS</w:t>
            </w:r>
          </w:p>
        </w:tc>
      </w:tr>
      <w:tr w:rsidR="00CA6DCF" w:rsidRPr="00DB1920" w14:paraId="5E8338EF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3B4B9AED" w14:textId="6E67ECC6" w:rsidR="00CA6DCF" w:rsidRPr="00DB1920" w:rsidRDefault="00616623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63771" w:rsidRPr="00DB19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463771" w:rsidRPr="00DB1920" w14:paraId="0D65F3B3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09689D44" w14:textId="587DE150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but only patients with known cardiovascular risk factors</w:t>
            </w:r>
          </w:p>
        </w:tc>
      </w:tr>
      <w:tr w:rsidR="00463771" w:rsidRPr="00DB1920" w14:paraId="7E500F23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7036B87A" w14:textId="0B3386A2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but only patients with previous cardio- and cerebrovascular events</w:t>
            </w:r>
          </w:p>
        </w:tc>
      </w:tr>
      <w:tr w:rsidR="00463771" w:rsidRPr="00DB1920" w14:paraId="6EB928EF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4B083" w:themeFill="accent2" w:themeFillTint="99"/>
            <w:vAlign w:val="center"/>
          </w:tcPr>
          <w:p w14:paraId="1CEDED66" w14:textId="1316B815" w:rsidR="00463771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34. Which of the following exams do you recommend to your CS patients? (MC, OF)</w:t>
            </w:r>
          </w:p>
        </w:tc>
      </w:tr>
      <w:tr w:rsidR="00463771" w:rsidRPr="00DB1920" w14:paraId="0DECEBA6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33C0FE6A" w14:textId="3178B09C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Electrocardiogram</w:t>
            </w:r>
          </w:p>
        </w:tc>
      </w:tr>
      <w:tr w:rsidR="00463771" w:rsidRPr="00DB1920" w14:paraId="79ABE1E6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37B6C4E2" w14:textId="122F50A4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Carotid US</w:t>
            </w:r>
          </w:p>
        </w:tc>
      </w:tr>
      <w:tr w:rsidR="00463771" w:rsidRPr="00DB1920" w14:paraId="108E2424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4FF54CBF" w14:textId="2BDC2E5D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Echocardiography</w:t>
            </w:r>
          </w:p>
        </w:tc>
      </w:tr>
      <w:tr w:rsidR="00463771" w:rsidRPr="00DB1920" w14:paraId="70A94E15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6C1159A7" w14:textId="3E69CE99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Cardiac MR</w:t>
            </w:r>
          </w:p>
        </w:tc>
      </w:tr>
      <w:tr w:rsidR="00CA6DCF" w:rsidRPr="00DB1920" w14:paraId="129183E1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6B2C038F" w14:textId="4CAD692A" w:rsidR="00CA6DCF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Coronarography study (CT or angiographic)</w:t>
            </w:r>
          </w:p>
        </w:tc>
      </w:tr>
      <w:tr w:rsidR="00CA6DCF" w:rsidRPr="00DB1920" w14:paraId="21D59B1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737D1D2F" w14:textId="25BBF82B" w:rsidR="00CA6DCF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Cerebral magnetic angiography</w:t>
            </w:r>
          </w:p>
        </w:tc>
      </w:tr>
      <w:tr w:rsidR="00463771" w:rsidRPr="00DB1920" w14:paraId="76198DFF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29ECA242" w14:textId="62395BF9" w:rsidR="00463771" w:rsidRPr="00DB1920" w:rsidRDefault="00463771" w:rsidP="00463771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463771" w:rsidRPr="00DB1920" w14:paraId="60E8DD5E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4B083" w:themeFill="accent2" w:themeFillTint="99"/>
            <w:vAlign w:val="center"/>
          </w:tcPr>
          <w:p w14:paraId="4D696F8A" w14:textId="6710A42D" w:rsidR="00463771" w:rsidRPr="00DB1920" w:rsidRDefault="00463771" w:rsidP="00CA6DC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35. Vascular disease - When do you assess it?</w:t>
            </w:r>
            <w:r w:rsidR="006166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(MC, OF)</w:t>
            </w:r>
          </w:p>
        </w:tc>
      </w:tr>
      <w:tr w:rsidR="00463771" w:rsidRPr="00DB1920" w14:paraId="369110F4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5BE68BE1" w14:textId="3B8EF93E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CS diagnosis</w:t>
            </w:r>
          </w:p>
        </w:tc>
      </w:tr>
      <w:tr w:rsidR="00463771" w:rsidRPr="00DB1920" w14:paraId="30C3E688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76442ECA" w14:textId="76FC8B20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3-6 months after surgery (pituitary or adrenal or NET)</w:t>
            </w:r>
          </w:p>
        </w:tc>
      </w:tr>
      <w:tr w:rsidR="00463771" w:rsidRPr="00DB1920" w14:paraId="4C04C76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1AABCDD9" w14:textId="248308AB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Regularly during medical treatment only for persistent/recurrent CS or not amenable for surgery (specify the time of regular follow-up)</w:t>
            </w:r>
          </w:p>
        </w:tc>
      </w:tr>
      <w:tr w:rsidR="00463771" w:rsidRPr="00DB1920" w14:paraId="64801CA5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6E62EF38" w14:textId="51F05BE4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At diagnosis and regularly during follow-up in both remittent and persistent CS</w:t>
            </w:r>
          </w:p>
        </w:tc>
      </w:tr>
      <w:tr w:rsidR="00463771" w:rsidRPr="00DB1920" w14:paraId="7038070C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21D7D5F6" w14:textId="0D021685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463771" w:rsidRPr="00DB1920" w14:paraId="4F4CF69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4B083" w:themeFill="accent2" w:themeFillTint="99"/>
            <w:vAlign w:val="center"/>
            <w:hideMark/>
          </w:tcPr>
          <w:p w14:paraId="3073388B" w14:textId="16C245F8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36. Do you consider antiplatelet therapy for CS?</w:t>
            </w:r>
          </w:p>
        </w:tc>
      </w:tr>
      <w:tr w:rsidR="00463771" w:rsidRPr="00DB1920" w14:paraId="6963275B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569D3E12" w14:textId="367DAFA0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in all cases</w:t>
            </w:r>
          </w:p>
        </w:tc>
      </w:tr>
      <w:tr w:rsidR="00463771" w:rsidRPr="00DB1920" w14:paraId="7192696B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1BE9C0B4" w14:textId="03A489E4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Only in diabetic CS</w:t>
            </w:r>
          </w:p>
        </w:tc>
      </w:tr>
      <w:tr w:rsidR="00463771" w:rsidRPr="00DB1920" w14:paraId="5B26E635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  <w:hideMark/>
          </w:tcPr>
          <w:p w14:paraId="18E31846" w14:textId="78F3A7EA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Only in CS with documented vascular disease</w:t>
            </w:r>
          </w:p>
        </w:tc>
      </w:tr>
      <w:tr w:rsidR="00463771" w:rsidRPr="00DB1920" w14:paraId="183FCDA0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F7CAAC" w:themeFill="accent2" w:themeFillTint="66"/>
            <w:vAlign w:val="center"/>
          </w:tcPr>
          <w:p w14:paraId="5AE4D803" w14:textId="4151A112" w:rsidR="00463771" w:rsidRPr="00DB1920" w:rsidRDefault="00463771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No, due to bleeding concerns</w:t>
            </w:r>
          </w:p>
        </w:tc>
      </w:tr>
      <w:tr w:rsidR="00463771" w:rsidRPr="00DB1920" w14:paraId="18045BC6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7FC3DD0E" w14:textId="1F285BEC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37. How do you evaluate obesity at your Cent</w:t>
            </w:r>
            <w:r w:rsidR="00BA54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er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  <w:r w:rsidR="006166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463771" w:rsidRPr="00DB1920" w14:paraId="171BB58F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3B1E5E7D" w14:textId="3BD6A633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</w:tc>
      </w:tr>
      <w:tr w:rsidR="00463771" w:rsidRPr="00DB1920" w14:paraId="4F1A1470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BB1626F" w14:textId="441A4850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Waist to hip ratio</w:t>
            </w:r>
          </w:p>
        </w:tc>
      </w:tr>
      <w:tr w:rsidR="00463771" w:rsidRPr="00DB1920" w14:paraId="33C345C2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26AF725E" w14:textId="47D73D8D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Body composition through bioelectrical impedance analysis</w:t>
            </w:r>
          </w:p>
        </w:tc>
      </w:tr>
      <w:tr w:rsidR="00463771" w:rsidRPr="00DB1920" w14:paraId="04560ECC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7A254F09" w14:textId="2972F3B3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Body composition through total body DXA scan</w:t>
            </w:r>
          </w:p>
        </w:tc>
      </w:tr>
      <w:tr w:rsidR="00463771" w:rsidRPr="00DB1920" w14:paraId="6C85CEF7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  <w:hideMark/>
          </w:tcPr>
          <w:p w14:paraId="7E5A629B" w14:textId="12B9695B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463771" w:rsidRPr="00DB1920" w14:paraId="153262C5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  <w:hideMark/>
          </w:tcPr>
          <w:p w14:paraId="6461C0E8" w14:textId="66407CA0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38. Obesity is frequently associated to CS; in your experience how many patients remain overweight or obese after effective surgery compared to baseline? (OF)</w:t>
            </w:r>
          </w:p>
        </w:tc>
      </w:tr>
      <w:tr w:rsidR="00463771" w:rsidRPr="00DB1920" w14:paraId="330BFB70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  <w:hideMark/>
          </w:tcPr>
          <w:p w14:paraId="4903D4EA" w14:textId="7D963AF9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100%, 75%, 50%, 25%, or Others, please specify</w:t>
            </w:r>
          </w:p>
        </w:tc>
      </w:tr>
      <w:tr w:rsidR="00463771" w:rsidRPr="00DB1920" w14:paraId="08A5C7E3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  <w:hideMark/>
          </w:tcPr>
          <w:p w14:paraId="6DB9B6C6" w14:textId="32FE5CFA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39. In patients controlled by medical therapy how many patients remain overweight or obese compared to pre-treatment condition? (OF)</w:t>
            </w:r>
          </w:p>
        </w:tc>
      </w:tr>
      <w:tr w:rsidR="00463771" w:rsidRPr="00DB1920" w14:paraId="135BD2B9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  <w:hideMark/>
          </w:tcPr>
          <w:p w14:paraId="5AF20FFA" w14:textId="45461B37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100%, 75%, 50%, 25%, or Others, please specify</w:t>
            </w:r>
          </w:p>
        </w:tc>
      </w:tr>
      <w:tr w:rsidR="00463771" w:rsidRPr="00DB1920" w14:paraId="25B51597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  <w:hideMark/>
          </w:tcPr>
          <w:p w14:paraId="44AFC212" w14:textId="45D19BF8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40. How do you address obesity in patients in remission?</w:t>
            </w:r>
          </w:p>
        </w:tc>
      </w:tr>
      <w:tr w:rsidR="00463771" w:rsidRPr="00DB1920" w14:paraId="2FE123D7" w14:textId="77777777" w:rsidTr="00DB1920">
        <w:trPr>
          <w:trHeight w:val="454"/>
          <w:jc w:val="center"/>
        </w:trPr>
        <w:tc>
          <w:tcPr>
            <w:tcW w:w="9639" w:type="dxa"/>
            <w:shd w:val="clear" w:color="auto" w:fill="D9D9D9" w:themeFill="background1" w:themeFillShade="D9"/>
            <w:vAlign w:val="center"/>
            <w:hideMark/>
          </w:tcPr>
          <w:p w14:paraId="2F0A0EA9" w14:textId="4186913C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Diet indication and physical exercise or Drugs</w:t>
            </w:r>
          </w:p>
        </w:tc>
      </w:tr>
      <w:tr w:rsidR="0025470E" w:rsidRPr="00DB1920" w14:paraId="14DA52CC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6B28BCA7" w14:textId="37FBFB4C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41. Do you prescribe cortisol lowering medication prior to surgery to better control cortisol related complication such as hypertension, diabetes, obesity?</w:t>
            </w:r>
            <w:r w:rsidR="006166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25470E" w:rsidRPr="00DB1920" w14:paraId="258E96D1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16A726F7" w14:textId="1A8F204F" w:rsidR="00463771" w:rsidRPr="00DB1920" w:rsidRDefault="00DB1920" w:rsidP="00DB19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routinely</w:t>
            </w:r>
          </w:p>
        </w:tc>
      </w:tr>
      <w:tr w:rsidR="0025470E" w:rsidRPr="00DB1920" w14:paraId="314178CB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6A3C9588" w14:textId="7CC893D6" w:rsidR="00463771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but only in patients with severe Cushing’s syndrome (high cortisol levels)</w:t>
            </w:r>
          </w:p>
        </w:tc>
      </w:tr>
      <w:tr w:rsidR="00DB1920" w:rsidRPr="00DB1920" w14:paraId="06B6385B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4F262DC2" w14:textId="7FD725AD" w:rsidR="00DB1920" w:rsidRPr="00DB1920" w:rsidRDefault="00DB1920" w:rsidP="00DB1920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Yes, but only in patients with previous cardiovascular event</w:t>
            </w:r>
          </w:p>
        </w:tc>
      </w:tr>
      <w:tr w:rsidR="00DB1920" w:rsidRPr="00DB1920" w14:paraId="1114AB1B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72F73762" w14:textId="7BCD59C7" w:rsidR="00DB1920" w:rsidRPr="00DB1920" w:rsidRDefault="00DB1920" w:rsidP="00DB1920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No, never</w:t>
            </w:r>
          </w:p>
        </w:tc>
      </w:tr>
      <w:tr w:rsidR="00DB1920" w:rsidRPr="00DB1920" w14:paraId="3C472C53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2FF7460D" w14:textId="72662392" w:rsidR="00DB1920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DB1920" w:rsidRPr="00DB1920" w14:paraId="3B5E59E3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</w:tcPr>
          <w:p w14:paraId="692B40B5" w14:textId="07DE3BC4" w:rsidR="00DB1920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42. Do you assess sleep apnoea in active CS patients?</w:t>
            </w:r>
          </w:p>
        </w:tc>
      </w:tr>
      <w:tr w:rsidR="00DB1920" w:rsidRPr="00DB1920" w14:paraId="41C622F6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1C494419" w14:textId="5F1390F8" w:rsidR="00DB1920" w:rsidRPr="00DB1920" w:rsidRDefault="00DB1920" w:rsidP="00463771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25470E" w:rsidRPr="00DB1920" w14:paraId="4AB9AAA9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</w:tcPr>
          <w:p w14:paraId="275D8B67" w14:textId="4BED6115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If yes, how do you evaluate it?</w:t>
            </w:r>
          </w:p>
        </w:tc>
      </w:tr>
      <w:tr w:rsidR="0025470E" w:rsidRPr="00DB1920" w14:paraId="700D15AE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37C3DD49" w14:textId="17F37D99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Self-reported</w:t>
            </w:r>
          </w:p>
        </w:tc>
      </w:tr>
      <w:tr w:rsidR="0025470E" w:rsidRPr="00DB1920" w14:paraId="0F8E7ECC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41059E16" w14:textId="73260E07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Epworth questionnaire</w:t>
            </w:r>
          </w:p>
        </w:tc>
      </w:tr>
      <w:tr w:rsidR="0025470E" w:rsidRPr="00DB1920" w14:paraId="7AC64C24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369B317D" w14:textId="25DCC3C9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Polysomnography</w:t>
            </w:r>
          </w:p>
        </w:tc>
      </w:tr>
      <w:tr w:rsidR="0025470E" w:rsidRPr="00DB1920" w14:paraId="66A19AE7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2CBCEB74" w14:textId="15FE0A4D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Others, please specify</w:t>
            </w:r>
          </w:p>
        </w:tc>
      </w:tr>
      <w:tr w:rsidR="0025470E" w:rsidRPr="00DB1920" w14:paraId="63C9533A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</w:tcPr>
          <w:p w14:paraId="6E3E36CD" w14:textId="0FCFC01D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Sleep apnoea - </w:t>
            </w: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When do you assess it?</w:t>
            </w:r>
            <w:r w:rsidR="006166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(OF)</w:t>
            </w:r>
          </w:p>
        </w:tc>
      </w:tr>
      <w:tr w:rsidR="0025470E" w:rsidRPr="00DB1920" w14:paraId="77FA158A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0F562C9C" w14:textId="771F4962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Only during phase of disease</w:t>
            </w:r>
          </w:p>
        </w:tc>
      </w:tr>
      <w:tr w:rsidR="0025470E" w:rsidRPr="00DB1920" w14:paraId="0F7B8AB0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753F10FC" w14:textId="7AF3A082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Only after surgical remission</w:t>
            </w:r>
          </w:p>
        </w:tc>
      </w:tr>
      <w:tr w:rsidR="0025470E" w:rsidRPr="00DB1920" w14:paraId="43C00999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16EE0199" w14:textId="24ACF6FC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During medical therapy in CS</w:t>
            </w:r>
          </w:p>
        </w:tc>
      </w:tr>
      <w:tr w:rsidR="0025470E" w:rsidRPr="00DB1920" w14:paraId="3DAE291F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74B0CCCF" w14:textId="1A8BF193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</w:rPr>
              <w:t>Periodically</w:t>
            </w:r>
          </w:p>
        </w:tc>
      </w:tr>
      <w:tr w:rsidR="0025470E" w:rsidRPr="00DB1920" w14:paraId="20D27348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</w:tcPr>
          <w:p w14:paraId="1F692C3A" w14:textId="188A5C75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45. In your experience pre-treatment with cortisol lowering medication can lower the risk of cardiovascular event in the perioperative period?</w:t>
            </w:r>
          </w:p>
        </w:tc>
      </w:tr>
      <w:tr w:rsidR="0025470E" w:rsidRPr="00DB1920" w14:paraId="530B9F23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68A3128D" w14:textId="1E276DE4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25470E" w:rsidRPr="00DB1920" w14:paraId="09C4C864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7FE4DB7A" w14:textId="20DA1292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46. What is the cortisol lowering medication you usually prescribe preoperatively to prepare your patients to surgery?</w:t>
            </w:r>
          </w:p>
        </w:tc>
      </w:tr>
      <w:tr w:rsidR="0025470E" w:rsidRPr="00DB1920" w14:paraId="3BED050B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3BC73DA4" w14:textId="77777777" w:rsidR="0025470E" w:rsidRPr="0025470E" w:rsidRDefault="0025470E" w:rsidP="0025470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Ketoconazole, Metyrapone, Cabergoline, Pasireotide, Mitotane, Osilodrostat, Levo-ketoconazole,</w:t>
            </w:r>
          </w:p>
          <w:p w14:paraId="5D485B8C" w14:textId="6594A1F4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Mifepristone, Etomidate and/or Combined therapy</w:t>
            </w:r>
          </w:p>
        </w:tc>
      </w:tr>
      <w:tr w:rsidR="0025470E" w:rsidRPr="00DB1920" w14:paraId="58E18CC3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0EE74227" w14:textId="121604A1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If Combined therapy, please specify (OF)</w:t>
            </w:r>
          </w:p>
        </w:tc>
      </w:tr>
      <w:tr w:rsidR="0025470E" w:rsidRPr="00DB1920" w14:paraId="79CD9809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5FE1F053" w14:textId="7BA5C965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47. Do you always ask for smoking habits to your CS patients?</w:t>
            </w:r>
          </w:p>
        </w:tc>
      </w:tr>
      <w:tr w:rsidR="0025470E" w:rsidRPr="00DB1920" w14:paraId="6207B988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5F4E8316" w14:textId="1158FB3B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25470E" w:rsidRPr="00DB1920" w14:paraId="1C21DDED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5D658EBD" w14:textId="0D1DC7EE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48. The presence of these risk factors (smoking and familiar history of cardiovascular disease) independent from the disease itself, change your approach to the patients?</w:t>
            </w:r>
          </w:p>
        </w:tc>
      </w:tr>
      <w:tr w:rsidR="0025470E" w:rsidRPr="00DB1920" w14:paraId="1F1A275C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5A4B8AD6" w14:textId="13D4D8AC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Yes, I would perform more instrumental exams (echocardiogram, </w:t>
            </w:r>
            <w:r w:rsidR="00616623"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5470E" w:rsidRPr="00DB1920" w14:paraId="37198240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4964B250" w14:textId="40FCB1BA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would pre-treat the patients with cortisol lowering medication</w:t>
            </w:r>
          </w:p>
        </w:tc>
      </w:tr>
      <w:tr w:rsidR="0025470E" w:rsidRPr="00DB1920" w14:paraId="5D51BF47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68A6AD43" w14:textId="442BAF0C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I would recommend cardiac evaluation</w:t>
            </w:r>
          </w:p>
        </w:tc>
      </w:tr>
      <w:tr w:rsidR="0025470E" w:rsidRPr="00DB1920" w14:paraId="2C9D2E23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</w:tcPr>
          <w:p w14:paraId="6667866F" w14:textId="03495F27" w:rsidR="0025470E" w:rsidRPr="0025470E" w:rsidRDefault="0025470E" w:rsidP="002547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No, I would send the patient immediately to surgery</w:t>
            </w:r>
          </w:p>
        </w:tc>
      </w:tr>
      <w:tr w:rsidR="0025470E" w:rsidRPr="00DB1920" w14:paraId="0EB2A0EF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66FFCC"/>
            <w:vAlign w:val="center"/>
            <w:hideMark/>
          </w:tcPr>
          <w:p w14:paraId="2423DBC4" w14:textId="45B608A1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49. Which of the following biochemical exams are included in your follow-up?</w:t>
            </w:r>
            <w:r w:rsidR="006166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(MC, OF)</w:t>
            </w:r>
          </w:p>
        </w:tc>
      </w:tr>
      <w:tr w:rsidR="0025470E" w:rsidRPr="00DB1920" w14:paraId="7984D195" w14:textId="77777777" w:rsidTr="0025470E">
        <w:trPr>
          <w:trHeight w:val="454"/>
          <w:jc w:val="center"/>
        </w:trPr>
        <w:tc>
          <w:tcPr>
            <w:tcW w:w="9639" w:type="dxa"/>
            <w:shd w:val="clear" w:color="auto" w:fill="99FFCC"/>
            <w:vAlign w:val="center"/>
            <w:hideMark/>
          </w:tcPr>
          <w:p w14:paraId="75D4A32C" w14:textId="0E383F34" w:rsidR="0025470E" w:rsidRPr="00DB1920" w:rsidRDefault="0025470E" w:rsidP="0025470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Fasting</w:t>
            </w:r>
            <w:r w:rsidRPr="0025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glycaemia, HbA1c, </w:t>
            </w:r>
            <w:r w:rsidR="0061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54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asting insulin, OGTT, Lipid profile, Microalbuminuria, usPCR, BNP, Complete blood count (neutrophilia and thrombocythemia), Others, please specify</w:t>
            </w:r>
          </w:p>
        </w:tc>
      </w:tr>
    </w:tbl>
    <w:p w14:paraId="6C8912E6" w14:textId="77777777" w:rsidR="009A6E4E" w:rsidRPr="00DB1920" w:rsidRDefault="009A6E4E" w:rsidP="00A2627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E44242" w14:textId="77777777" w:rsidR="009A6E4E" w:rsidRPr="00DB1920" w:rsidRDefault="009A6E4E" w:rsidP="00A2627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DA3A785" w14:textId="77777777" w:rsidR="009A6E4E" w:rsidRPr="00DB1920" w:rsidRDefault="009A6E4E" w:rsidP="00A2627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9A6E4E" w:rsidRPr="00DB1920" w:rsidSect="001375D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76D4874" w14:textId="79D0687F" w:rsidR="0026069F" w:rsidRPr="00106D25" w:rsidRDefault="00C6430F" w:rsidP="0026069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 w:rsidRP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26069F" w:rsidRP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able </w:t>
      </w:r>
      <w:r w:rsidR="00616623" w:rsidRP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26069F" w:rsidRP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6069F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 Number of CS patients newly diagnosed and under chronic care. Both total</w:t>
      </w:r>
      <w:r w:rsidR="00804A57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  <w:r w:rsidR="0026069F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 median </w:t>
      </w:r>
      <w:r w:rsidR="00742A15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number </w:t>
      </w:r>
      <w:r w:rsidR="0026069F" w:rsidRPr="00106D25">
        <w:rPr>
          <w:rFonts w:ascii="Times New Roman" w:hAnsi="Times New Roman" w:cs="Times New Roman"/>
          <w:i/>
          <w:iCs/>
          <w:sz w:val="24"/>
          <w:szCs w:val="24"/>
        </w:rPr>
        <w:t>per cent</w:t>
      </w:r>
      <w:r w:rsidR="00BA545B" w:rsidRPr="00106D25"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="00646ED8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 and i</w:t>
      </w:r>
      <w:r w:rsidR="00742A15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nterquartile ranges </w:t>
      </w:r>
      <w:r w:rsidR="00646ED8" w:rsidRPr="00106D2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42A15" w:rsidRPr="00106D25">
        <w:rPr>
          <w:rFonts w:ascii="Times New Roman" w:hAnsi="Times New Roman" w:cs="Times New Roman"/>
          <w:i/>
          <w:iCs/>
          <w:sz w:val="24"/>
          <w:szCs w:val="24"/>
        </w:rPr>
        <w:t>within the squares</w:t>
      </w:r>
      <w:r w:rsidR="00646ED8" w:rsidRPr="00106D25">
        <w:rPr>
          <w:rFonts w:ascii="Times New Roman" w:hAnsi="Times New Roman" w:cs="Times New Roman"/>
          <w:i/>
          <w:iCs/>
          <w:sz w:val="24"/>
          <w:szCs w:val="24"/>
        </w:rPr>
        <w:t>) are reported</w:t>
      </w:r>
      <w:r w:rsidR="00742A15" w:rsidRPr="00106D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6069F" w:rsidRPr="00106D25">
        <w:rPr>
          <w:rFonts w:ascii="Times New Roman" w:hAnsi="Times New Roman" w:cs="Times New Roman"/>
          <w:i/>
          <w:iCs/>
          <w:sz w:val="24"/>
          <w:szCs w:val="24"/>
        </w:rPr>
        <w:t xml:space="preserve"> CS: Cushing’s syndrome</w:t>
      </w:r>
      <w:r w:rsidR="00804A57" w:rsidRPr="00106D25">
        <w:rPr>
          <w:rFonts w:ascii="Times New Roman" w:hAnsi="Times New Roman" w:cs="Times New Roman"/>
          <w:i/>
          <w:iCs/>
          <w:sz w:val="24"/>
          <w:szCs w:val="24"/>
        </w:rPr>
        <w:t>; ACTH: adrenocorticotropic hormone</w:t>
      </w:r>
      <w:r w:rsidR="0026069F" w:rsidRPr="00106D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110"/>
        <w:gridCol w:w="1418"/>
        <w:gridCol w:w="1843"/>
        <w:gridCol w:w="1275"/>
        <w:gridCol w:w="2029"/>
      </w:tblGrid>
      <w:tr w:rsidR="0026069F" w:rsidRPr="00DB1920" w14:paraId="13590994" w14:textId="77777777" w:rsidTr="00D91F3F">
        <w:trPr>
          <w:trHeight w:val="264"/>
        </w:trPr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17272" w14:textId="77777777" w:rsidR="0026069F" w:rsidRPr="00DB1920" w:rsidRDefault="0026069F" w:rsidP="00D9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2CE4" w14:textId="77777777" w:rsidR="0026069F" w:rsidRPr="00DB1920" w:rsidRDefault="0026069F" w:rsidP="00D91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730D9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Newly diagnosed CS patients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BECA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CS patients under chronic care</w:t>
            </w:r>
          </w:p>
        </w:tc>
      </w:tr>
      <w:tr w:rsidR="0026069F" w:rsidRPr="00DB1920" w14:paraId="5B31653D" w14:textId="77777777" w:rsidTr="00D91F3F">
        <w:trPr>
          <w:trHeight w:val="264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11D19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Condition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39F9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E2E4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3213" w14:textId="5E872AFC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per cent</w:t>
            </w:r>
            <w:r w:rsidR="00BA5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D673" w14:textId="77777777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total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18F" w14:textId="2A178FB9" w:rsidR="0026069F" w:rsidRPr="00DB1920" w:rsidRDefault="0026069F" w:rsidP="00D91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per cent</w:t>
            </w:r>
            <w:r w:rsidR="00BA5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er</w:t>
            </w:r>
          </w:p>
        </w:tc>
      </w:tr>
      <w:tr w:rsidR="003E22BF" w:rsidRPr="00DB1920" w14:paraId="1475D585" w14:textId="77777777" w:rsidTr="0083782A">
        <w:trPr>
          <w:trHeight w:val="264"/>
        </w:trPr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5AA48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Cushing's Disease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CD2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29E4C3" w14:textId="4F8DED89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39E9D4" w14:textId="34B6B11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4 [2; 7]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2D74" w14:textId="709F5262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631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80E5" w14:textId="4338F4A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8 [5; 49]</w:t>
            </w:r>
          </w:p>
        </w:tc>
      </w:tr>
      <w:tr w:rsidR="003E22BF" w:rsidRPr="00DB1920" w14:paraId="59402CC5" w14:textId="77777777" w:rsidTr="0083782A">
        <w:trPr>
          <w:trHeight w:val="264"/>
        </w:trPr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8CFA67" w14:textId="77777777" w:rsidR="003E22BF" w:rsidRPr="00DB1920" w:rsidRDefault="003E22BF" w:rsidP="003E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F05E7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4982" w14:textId="22A2ABA7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CADC" w14:textId="01D7A113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5 [2; 7]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0A19" w14:textId="3EEC3DD0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656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96B" w14:textId="7A14C1E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5 [5; 48]</w:t>
            </w:r>
          </w:p>
        </w:tc>
      </w:tr>
      <w:tr w:rsidR="003E22BF" w:rsidRPr="00DB1920" w14:paraId="2F754AA4" w14:textId="77777777" w:rsidTr="0083782A">
        <w:trPr>
          <w:trHeight w:val="264"/>
        </w:trPr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0265AD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Ectopic ACTH secretion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44BD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0C48D" w14:textId="2AD7F0D4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313068" w14:textId="360F669B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2]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0827" w14:textId="0E92CB21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59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278" w14:textId="03B8305A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2 [0; 3]</w:t>
            </w:r>
          </w:p>
        </w:tc>
      </w:tr>
      <w:tr w:rsidR="003E22BF" w:rsidRPr="00DB1920" w14:paraId="2CAD772D" w14:textId="77777777" w:rsidTr="0083782A">
        <w:trPr>
          <w:trHeight w:val="264"/>
        </w:trPr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BD2F46" w14:textId="77777777" w:rsidR="003E22BF" w:rsidRPr="00DB1920" w:rsidRDefault="003E22BF" w:rsidP="003E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507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73CB" w14:textId="4D668F39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F9B3" w14:textId="403F365A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2]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8C2" w14:textId="4B3C0FF8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63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05A" w14:textId="36091835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4]</w:t>
            </w:r>
          </w:p>
        </w:tc>
      </w:tr>
      <w:tr w:rsidR="003E22BF" w:rsidRPr="00DB1920" w14:paraId="072FD831" w14:textId="77777777" w:rsidTr="0083782A">
        <w:trPr>
          <w:trHeight w:val="264"/>
        </w:trPr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C1C1F5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Benign adrenal CS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87DB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7AAAB5" w14:textId="5483E100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F3CCE8" w14:textId="7B03B51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2 [1; 5]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8A2A" w14:textId="5FB5AE02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167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5BB5" w14:textId="41D36DC2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3 [1; 20]</w:t>
            </w:r>
          </w:p>
        </w:tc>
      </w:tr>
      <w:tr w:rsidR="003E22BF" w:rsidRPr="00DB1920" w14:paraId="7DF96D8C" w14:textId="77777777" w:rsidTr="0083782A">
        <w:trPr>
          <w:trHeight w:val="264"/>
        </w:trPr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85946F" w14:textId="77777777" w:rsidR="003E22BF" w:rsidRPr="00DB1920" w:rsidRDefault="003E22BF" w:rsidP="003E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4EDA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C394" w14:textId="493725F3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026C" w14:textId="637D2144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2 [1; 5]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B42B" w14:textId="6F2F1503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189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7B4F" w14:textId="225DD467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4 [1; 20]</w:t>
            </w:r>
          </w:p>
        </w:tc>
      </w:tr>
      <w:tr w:rsidR="003E22BF" w:rsidRPr="00DB1920" w14:paraId="1FBA2D55" w14:textId="77777777" w:rsidTr="0083782A">
        <w:trPr>
          <w:trHeight w:val="264"/>
        </w:trPr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EC8A9E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Malignant adrenal CS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CBDA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2F5F15" w14:textId="377A311D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5F9041" w14:textId="2CEF9018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3]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EF77" w14:textId="4F36CA51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B0FA" w14:textId="46258E9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5]</w:t>
            </w:r>
          </w:p>
        </w:tc>
      </w:tr>
      <w:tr w:rsidR="003E22BF" w:rsidRPr="00DB1920" w14:paraId="2DDF5C1C" w14:textId="77777777" w:rsidTr="0083782A">
        <w:trPr>
          <w:trHeight w:val="264"/>
        </w:trPr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69C66F" w14:textId="77777777" w:rsidR="003E22BF" w:rsidRPr="00DB1920" w:rsidRDefault="003E22BF" w:rsidP="003E2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EC7" w14:textId="77777777" w:rsidR="003E22BF" w:rsidRPr="00DB1920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920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B296" w14:textId="0ED66B7C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0A79" w14:textId="7D77B2BF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4]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7F99" w14:textId="569A4013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87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0E6" w14:textId="2578AA06" w:rsidR="003E22BF" w:rsidRPr="00D00216" w:rsidRDefault="003E22BF" w:rsidP="003E2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</w:pPr>
            <w:r w:rsidRPr="00D0021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t-IT"/>
              </w:rPr>
              <w:t>1 [0; 5]</w:t>
            </w:r>
          </w:p>
        </w:tc>
      </w:tr>
    </w:tbl>
    <w:p w14:paraId="709CEFFC" w14:textId="77777777" w:rsidR="006946D0" w:rsidRPr="00DB1920" w:rsidRDefault="006946D0" w:rsidP="006946D0">
      <w:pPr>
        <w:jc w:val="both"/>
        <w:rPr>
          <w:b/>
          <w:bCs/>
          <w:i/>
          <w:iCs/>
        </w:rPr>
      </w:pPr>
    </w:p>
    <w:p w14:paraId="1F9B73B3" w14:textId="5D640D75" w:rsidR="0089679D" w:rsidRDefault="00D0126B" w:rsidP="00D0126B">
      <w:pPr>
        <w:jc w:val="both"/>
        <w:rPr>
          <w:rFonts w:ascii="Times New Roman" w:hAnsi="Times New Roman" w:cs="Times New Roman"/>
          <w:sz w:val="24"/>
          <w:szCs w:val="24"/>
        </w:rPr>
      </w:pPr>
      <w:r w:rsidRPr="00D0126B">
        <w:rPr>
          <w:rFonts w:ascii="Times New Roman" w:hAnsi="Times New Roman" w:cs="Times New Roman"/>
          <w:sz w:val="24"/>
          <w:szCs w:val="24"/>
        </w:rPr>
        <w:t>Expert centers</w:t>
      </w:r>
      <w:r>
        <w:rPr>
          <w:rFonts w:ascii="Times New Roman" w:hAnsi="Times New Roman" w:cs="Times New Roman"/>
          <w:sz w:val="24"/>
          <w:szCs w:val="24"/>
        </w:rPr>
        <w:t xml:space="preserve">, in addition to routine clinical practice, </w:t>
      </w:r>
      <w:r w:rsidRPr="00D0126B">
        <w:rPr>
          <w:rFonts w:ascii="Times New Roman" w:hAnsi="Times New Roman" w:cs="Times New Roman"/>
          <w:sz w:val="24"/>
          <w:szCs w:val="24"/>
        </w:rPr>
        <w:t>have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D0126B">
        <w:rPr>
          <w:rFonts w:ascii="Times New Roman" w:hAnsi="Times New Roman" w:cs="Times New Roman"/>
          <w:sz w:val="24"/>
          <w:szCs w:val="24"/>
        </w:rPr>
        <w:t xml:space="preserve"> local or national policy of management,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may affect the definition of “new” and “chronically cared” patients. The definition of a new CS patient mainly referred to cases that have not been evaluated by the reference centre yet (1</w:t>
      </w:r>
      <w:r w:rsidR="003E22B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3E22B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22B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%) or to treatment naïve patients (13/1</w:t>
      </w:r>
      <w:r w:rsidR="008143D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43D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%). Other less common definitions were patients experiencing recurrence (n=3) and patients not recently evaluated at the reference centre (n=2). Regarding the definition of a CS patient under chronic care, most of responders (1</w:t>
      </w:r>
      <w:r w:rsidR="008143D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8143D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, 7</w:t>
      </w:r>
      <w:r w:rsidR="008143DF"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00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%) addressed those receiving active treatment or undergoing regular follow-up at the reference centre. Some RCs considered as chronically cared all subjects previously treated at the centre independently </w:t>
      </w:r>
      <w:r>
        <w:rPr>
          <w:rFonts w:ascii="Times New Roman" w:hAnsi="Times New Roman" w:cs="Times New Roman"/>
          <w:sz w:val="24"/>
          <w:szCs w:val="24"/>
        </w:rPr>
        <w:t>of where follow up is currently performed; on the contrary some responder</w:t>
      </w:r>
      <w:r w:rsidRPr="00D0126B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>cluded patients</w:t>
      </w:r>
      <w:r w:rsidRPr="00D0126B">
        <w:rPr>
          <w:rFonts w:ascii="Times New Roman" w:hAnsi="Times New Roman" w:cs="Times New Roman"/>
          <w:sz w:val="24"/>
          <w:szCs w:val="24"/>
        </w:rPr>
        <w:t xml:space="preserve"> routinely followed by affiliated centres after treatment </w:t>
      </w:r>
      <w:r>
        <w:rPr>
          <w:rFonts w:ascii="Times New Roman" w:hAnsi="Times New Roman" w:cs="Times New Roman"/>
          <w:sz w:val="24"/>
          <w:szCs w:val="24"/>
        </w:rPr>
        <w:t xml:space="preserve">only if </w:t>
      </w:r>
      <w:r w:rsidRPr="00D0126B">
        <w:rPr>
          <w:rFonts w:ascii="Times New Roman" w:hAnsi="Times New Roman" w:cs="Times New Roman"/>
          <w:sz w:val="24"/>
          <w:szCs w:val="24"/>
        </w:rPr>
        <w:t>referred to the reference centre for consultation, diagnostic tests and/or procedures (11% each). One centre responded including both actively and previously treated patients on ongoing follow-up.</w:t>
      </w:r>
    </w:p>
    <w:p w14:paraId="07475DEB" w14:textId="38DE1954" w:rsidR="00D0126B" w:rsidRDefault="00D0126B" w:rsidP="00D012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F393A" w14:textId="77777777" w:rsidR="0089679D" w:rsidRDefault="0089679D" w:rsidP="00D0126B">
      <w:pPr>
        <w:jc w:val="both"/>
        <w:rPr>
          <w:rFonts w:ascii="Times New Roman" w:hAnsi="Times New Roman" w:cs="Times New Roman"/>
          <w:sz w:val="24"/>
          <w:szCs w:val="24"/>
        </w:rPr>
        <w:sectPr w:rsidR="0089679D" w:rsidSect="0089679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F89AA2D" w14:textId="1731CC95" w:rsidR="0089679D" w:rsidRPr="00BA545B" w:rsidRDefault="0089679D" w:rsidP="0089679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igure 1.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Database compilation across cent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s participating in the survey. CS: Cushing’s Syndrome; ERCUSYN: </w:t>
      </w:r>
      <w:r w:rsidR="00991EA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91EA9" w:rsidRPr="00DB1920">
        <w:rPr>
          <w:rFonts w:ascii="Times New Roman" w:hAnsi="Times New Roman" w:cs="Times New Roman"/>
          <w:i/>
          <w:iCs/>
          <w:sz w:val="24"/>
          <w:szCs w:val="24"/>
        </w:rPr>
        <w:t>uropean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egister on Cushing’s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>yndrome.</w:t>
      </w:r>
    </w:p>
    <w:p w14:paraId="70EDD823" w14:textId="3FE5C7CA" w:rsidR="0089679D" w:rsidRDefault="008143DF" w:rsidP="00896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65EC3" wp14:editId="36785225">
            <wp:extent cx="6116267" cy="2598420"/>
            <wp:effectExtent l="0" t="0" r="0" b="0"/>
            <wp:docPr id="7134665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4" t="3763" r="11880" b="4548"/>
                    <a:stretch/>
                  </pic:blipFill>
                  <pic:spPr bwMode="auto">
                    <a:xfrm>
                      <a:off x="0" y="0"/>
                      <a:ext cx="6157730" cy="26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2C10D" w14:textId="77777777" w:rsidR="0089679D" w:rsidRPr="00D0126B" w:rsidRDefault="0089679D" w:rsidP="008967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D47118" w14:textId="77777777" w:rsidR="00D0126B" w:rsidRDefault="00D0126B" w:rsidP="00D012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F93AD" w14:textId="4F7860DA" w:rsidR="00D0126B" w:rsidRPr="00D0126B" w:rsidRDefault="00D0126B" w:rsidP="00D0126B">
      <w:pPr>
        <w:jc w:val="both"/>
        <w:rPr>
          <w:rFonts w:ascii="Times New Roman" w:hAnsi="Times New Roman" w:cs="Times New Roman"/>
          <w:sz w:val="24"/>
          <w:szCs w:val="24"/>
        </w:rPr>
        <w:sectPr w:rsidR="00D0126B" w:rsidRPr="00D0126B" w:rsidSect="001375D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4EFC5F4" w14:textId="400C3DF6" w:rsidR="00433454" w:rsidRPr="00DB1920" w:rsidRDefault="00433454" w:rsidP="00433454">
      <w:pPr>
        <w:jc w:val="both"/>
        <w:rPr>
          <w:rFonts w:ascii="Times New Roman" w:hAnsi="Times New Roman" w:cs="Times New Roman"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igure </w:t>
      </w:r>
      <w:r w:rsidR="00A26272"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Biochemical work-up for CS at diagnosis (blue) and during follow</w:t>
      </w:r>
      <w:r w:rsidR="00646ED8" w:rsidRPr="00DB192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up (green). CS: Cushing’s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yndrome; </w:t>
      </w:r>
      <w:proofErr w:type="spellStart"/>
      <w:r w:rsidRPr="00DB1920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: not available; eGFR: estimated glomerular filtration rate; Na: sodium; K: potassium; Ca: calcium; OGTT: oral glucose tolerance test; BNP: </w:t>
      </w:r>
      <w:r w:rsidR="00E8708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>-type natriuretic peptide; us</w:t>
      </w:r>
      <w:r w:rsidR="0016669A" w:rsidRPr="00DB192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>PCR: ultra-sensi</w:t>
      </w:r>
      <w:r w:rsidR="00D61310" w:rsidRPr="00DB1920">
        <w:rPr>
          <w:rFonts w:ascii="Times New Roman" w:hAnsi="Times New Roman" w:cs="Times New Roman"/>
          <w:i/>
          <w:iCs/>
          <w:sz w:val="24"/>
          <w:szCs w:val="24"/>
        </w:rPr>
        <w:t>tive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reactive protein C.</w:t>
      </w:r>
    </w:p>
    <w:p w14:paraId="0D8A13C3" w14:textId="247443EB" w:rsidR="00433454" w:rsidRPr="00DB1920" w:rsidRDefault="008143DF" w:rsidP="00433454">
      <w:pPr>
        <w:jc w:val="center"/>
        <w:rPr>
          <w:i/>
          <w:iCs/>
        </w:rPr>
      </w:pPr>
      <w:r w:rsidRPr="008143DF">
        <w:rPr>
          <w:i/>
          <w:iCs/>
          <w:noProof/>
        </w:rPr>
        <w:drawing>
          <wp:inline distT="0" distB="0" distL="0" distR="0" wp14:anchorId="1B5E601F" wp14:editId="251AA91A">
            <wp:extent cx="8515942" cy="4861560"/>
            <wp:effectExtent l="0" t="0" r="0" b="0"/>
            <wp:docPr id="53898052" name="Immagine 1" descr="Immagine che contiene testo, schermata, linea, Diagram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8052" name="Immagine 1" descr="Immagine che contiene testo, schermata, linea, Diagramma&#10;&#10;Descrizione generat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0323" cy="486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BDB85" w14:textId="77777777" w:rsidR="0086675B" w:rsidRPr="00DB1920" w:rsidRDefault="0086675B" w:rsidP="00F5040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FE5701F" w14:textId="77777777" w:rsidR="00433454" w:rsidRPr="00DB1920" w:rsidRDefault="00433454" w:rsidP="00F5040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433454" w:rsidRPr="00DB1920" w:rsidSect="001375DC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544C3AC9" w14:textId="34DB9A76" w:rsidR="00433454" w:rsidRPr="00D00216" w:rsidRDefault="00433454" w:rsidP="004334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igure </w:t>
      </w:r>
      <w:r w:rsidR="00A26272"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Tools to stratify hypercortisolism degree according to survey responders. UFC: urinary free cortisol; LNSC: late-night salivary cortisol; MSC: midnight salivary cortisol; EMSC: early-morning 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salivary cortisol</w:t>
      </w:r>
      <w:r w:rsidR="008143DF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; DST: dexamethasone suppression test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 *</w:t>
      </w:r>
      <w:r w:rsidR="00804A57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respectively clinical picture (n=1)</w:t>
      </w:r>
      <w:r w:rsidR="005B16FD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5B16FD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serum cortisol/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ACTH levels (n=1).</w:t>
      </w:r>
    </w:p>
    <w:p w14:paraId="031577E1" w14:textId="6E6754D3" w:rsidR="00433454" w:rsidRDefault="008143DF" w:rsidP="0043345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D2E1393" wp14:editId="099D1D53">
            <wp:extent cx="5620097" cy="3369425"/>
            <wp:effectExtent l="0" t="0" r="0" b="2540"/>
            <wp:docPr id="179216545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00A56A3-FF75-94BD-5C0A-90A59E044F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4534F70" w14:textId="77777777" w:rsidR="0089679D" w:rsidRDefault="0089679D" w:rsidP="0089679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21ED1" w14:textId="77777777" w:rsidR="0089679D" w:rsidRDefault="0089679D" w:rsidP="0089679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4BACE6" w14:textId="77777777" w:rsidR="0089679D" w:rsidRDefault="0089679D" w:rsidP="0089679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89679D" w:rsidSect="001375D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94DB3B1" w14:textId="7446AEEA" w:rsidR="0089679D" w:rsidRPr="00DB1920" w:rsidRDefault="0089679D" w:rsidP="0089679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igure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Tools to evaluate the presence of glucose homeostasis impairment. HbA1c: glycosylated haemoglobin; OGTT: oral glucose tolerance test for glycaemia and insulin; HOMA-IR: hom</w:t>
      </w:r>
      <w:r>
        <w:rPr>
          <w:rFonts w:ascii="Times New Roman" w:hAnsi="Times New Roman" w:cs="Times New Roman"/>
          <w:i/>
          <w:iCs/>
          <w:sz w:val="24"/>
          <w:szCs w:val="24"/>
        </w:rPr>
        <w:t>eostatic model assessment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for insulin resistance.</w:t>
      </w:r>
    </w:p>
    <w:p w14:paraId="74F36916" w14:textId="09371B5F" w:rsidR="0089679D" w:rsidRDefault="005B16FD" w:rsidP="0089679D">
      <w:pPr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2221D0AC" wp14:editId="43BEADFE">
            <wp:extent cx="6120130" cy="3702685"/>
            <wp:effectExtent l="0" t="0" r="13970" b="12065"/>
            <wp:docPr id="5737449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DB178A8-F1DE-0AAB-B735-FBCADE2020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2C2D17" w14:textId="77777777" w:rsidR="00E2481E" w:rsidRDefault="00E2481E" w:rsidP="0089679D">
      <w:pPr>
        <w:jc w:val="center"/>
        <w:rPr>
          <w:i/>
          <w:iCs/>
        </w:rPr>
      </w:pPr>
    </w:p>
    <w:p w14:paraId="5F095551" w14:textId="77777777" w:rsidR="00E2481E" w:rsidRPr="00E2481E" w:rsidRDefault="00E2481E" w:rsidP="00E2481E"/>
    <w:p w14:paraId="705F3784" w14:textId="77777777" w:rsidR="00E2481E" w:rsidRDefault="00E2481E" w:rsidP="00872E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E2481E" w:rsidSect="001375D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7CC81F" w14:textId="67AFCF43" w:rsidR="00872E4A" w:rsidRPr="00DB1920" w:rsidRDefault="00E2481E" w:rsidP="00872E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</w:t>
      </w:r>
      <w:r w:rsidR="00872E4A"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="00872E4A"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igure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872E4A"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72E4A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Preferred </w:t>
      </w:r>
      <w:r w:rsidR="0047595F" w:rsidRPr="00DB192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872E4A" w:rsidRPr="00DB1920">
        <w:rPr>
          <w:rFonts w:ascii="Times New Roman" w:hAnsi="Times New Roman" w:cs="Times New Roman"/>
          <w:i/>
          <w:iCs/>
          <w:sz w:val="24"/>
          <w:szCs w:val="24"/>
        </w:rPr>
        <w:t>ean</w:t>
      </w:r>
      <w:r w:rsidR="00003467" w:rsidRPr="00DB1920">
        <w:rPr>
          <w:rFonts w:ascii="Times New Roman" w:hAnsi="Times New Roman" w:cs="Times New Roman"/>
          <w:i/>
          <w:iCs/>
          <w:sz w:val="24"/>
          <w:szCs w:val="24"/>
        </w:rPr>
        <w:t>s (A)</w:t>
      </w:r>
      <w:r w:rsidR="00872E4A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and timing</w:t>
      </w:r>
      <w:r w:rsidR="00003467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(B)</w:t>
      </w:r>
      <w:r w:rsidR="00872E4A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to </w:t>
      </w:r>
      <w:r w:rsidR="002A3EF3" w:rsidRPr="00DB1920">
        <w:rPr>
          <w:rFonts w:ascii="Times New Roman" w:hAnsi="Times New Roman" w:cs="Times New Roman"/>
          <w:i/>
          <w:iCs/>
          <w:sz w:val="24"/>
          <w:szCs w:val="24"/>
        </w:rPr>
        <w:t>screen</w:t>
      </w:r>
      <w:r w:rsidR="00872E4A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vascular disease according to participants. </w:t>
      </w:r>
      <w:r w:rsidR="0047595F" w:rsidRPr="00DB1920">
        <w:rPr>
          <w:rFonts w:ascii="Times New Roman" w:hAnsi="Times New Roman" w:cs="Times New Roman"/>
          <w:i/>
          <w:iCs/>
          <w:sz w:val="24"/>
          <w:szCs w:val="24"/>
        </w:rPr>
        <w:t>MRI: magnetic resonance imaging; CT: computed tomography; US: ultrasound; ECG: electrocardiogram</w:t>
      </w:r>
      <w:r w:rsidR="00C6430F" w:rsidRPr="00DB1920">
        <w:rPr>
          <w:rFonts w:ascii="Times New Roman" w:hAnsi="Times New Roman" w:cs="Times New Roman"/>
          <w:i/>
          <w:iCs/>
          <w:sz w:val="24"/>
          <w:szCs w:val="24"/>
        </w:rPr>
        <w:t>; CS: Cushing’s syndrome; NET: neuro-endocrine tumor</w:t>
      </w:r>
      <w:r w:rsidR="0047595F" w:rsidRPr="00DB1920">
        <w:rPr>
          <w:rFonts w:ascii="Times New Roman" w:hAnsi="Times New Roman" w:cs="Times New Roman"/>
          <w:i/>
          <w:iCs/>
          <w:sz w:val="24"/>
          <w:szCs w:val="24"/>
        </w:rPr>
        <w:t>. * choice based on age and comorbidities (n=1)</w:t>
      </w:r>
      <w:r w:rsidR="005B78B8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or on</w:t>
      </w:r>
      <w:r w:rsidR="0047595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physical examination </w:t>
      </w:r>
      <w:r w:rsidR="005B78B8" w:rsidRPr="00DB192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47595F"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prior medical history (n=1).</w:t>
      </w:r>
    </w:p>
    <w:p w14:paraId="414DBE7E" w14:textId="34BBF770" w:rsidR="0047595F" w:rsidRPr="00DB1920" w:rsidRDefault="0047595F" w:rsidP="00872E4A">
      <w:pPr>
        <w:jc w:val="both"/>
        <w:rPr>
          <w:i/>
          <w:iCs/>
        </w:rPr>
      </w:pPr>
      <w:r w:rsidRPr="00DB1920">
        <w:rPr>
          <w:noProof/>
        </w:rPr>
        <w:drawing>
          <wp:inline distT="0" distB="0" distL="0" distR="0" wp14:anchorId="2A106086" wp14:editId="6B480F62">
            <wp:extent cx="6120130" cy="3600000"/>
            <wp:effectExtent l="0" t="0" r="0" b="0"/>
            <wp:docPr id="177101860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7D46A880-30CA-E68C-4DB7-CD2E2C514A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30181F1" w14:textId="77777777" w:rsidR="001672FD" w:rsidRPr="00DB1920" w:rsidRDefault="0047595F" w:rsidP="00872E4A">
      <w:pPr>
        <w:jc w:val="both"/>
        <w:rPr>
          <w:i/>
          <w:iCs/>
        </w:rPr>
        <w:sectPr w:rsidR="001672FD" w:rsidRPr="00DB1920" w:rsidSect="001375D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DB1920">
        <w:rPr>
          <w:noProof/>
        </w:rPr>
        <w:drawing>
          <wp:inline distT="0" distB="0" distL="0" distR="0" wp14:anchorId="5AF571C5" wp14:editId="56252D4F">
            <wp:extent cx="6120130" cy="3600000"/>
            <wp:effectExtent l="0" t="0" r="0" b="0"/>
            <wp:docPr id="139654910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6095AA47-DE88-ECA6-E8C4-E9E3113152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D1A0BDD" w14:textId="2CEE97BF" w:rsidR="00E2481E" w:rsidRPr="00DB1920" w:rsidRDefault="00E2481E" w:rsidP="00E2481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igure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Proportion of cent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s choosing cortisol lowering treatments based on arterial 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hypertension (5</w:t>
      </w:r>
      <w:r w:rsidR="005B16FD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%) in red, or on impaired glucose homeostasis (6</w:t>
      </w:r>
      <w:r w:rsidR="005B16FD"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D002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%) 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>in blue. For each category the preferred drugs (multiple choices) are reported. * 3 participants suggested a combination of ketoconazole and metyrapone for treating hypertensive patients; 2 cente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>s advised using a combination of ketoconazole and metyrapone for treating diabetic CS patients, one of them also considered a ketoconazole plus cabergoline regimen.</w:t>
      </w:r>
      <w:r w:rsidR="001734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462846" w14:textId="6AD9EBED" w:rsidR="00E2481E" w:rsidRPr="00DB1920" w:rsidRDefault="0028539E" w:rsidP="00E2481E">
      <w:pPr>
        <w:jc w:val="center"/>
        <w:rPr>
          <w:i/>
          <w:iCs/>
        </w:rPr>
      </w:pPr>
      <w:r w:rsidRPr="0028539E">
        <w:rPr>
          <w:i/>
          <w:iCs/>
          <w:noProof/>
        </w:rPr>
        <w:drawing>
          <wp:inline distT="0" distB="0" distL="0" distR="0" wp14:anchorId="453CD4D7" wp14:editId="209C72D8">
            <wp:extent cx="6120130" cy="4279900"/>
            <wp:effectExtent l="0" t="0" r="0" b="6350"/>
            <wp:docPr id="1166165911" name="Immagine 1" descr="Immagine che contiene testo, schermata, diagramm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65911" name="Immagine 1" descr="Immagine che contiene testo, schermata, diagramma, Carattere&#10;&#10;Descrizione generata automa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40388" w14:textId="77777777" w:rsidR="00E2481E" w:rsidRDefault="00E2481E" w:rsidP="00E2481E">
      <w:pPr>
        <w:jc w:val="both"/>
        <w:rPr>
          <w:b/>
          <w:bCs/>
          <w:i/>
          <w:iCs/>
        </w:rPr>
      </w:pPr>
    </w:p>
    <w:p w14:paraId="71CA8B31" w14:textId="77777777" w:rsidR="00E2481E" w:rsidRDefault="00E2481E" w:rsidP="00872E4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E2481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2B237DC" w14:textId="4FDAD0D6" w:rsidR="00646ED8" w:rsidRPr="00804A57" w:rsidRDefault="001672FD" w:rsidP="00872E4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Supplementary </w:t>
      </w:r>
      <w:r w:rsidR="00106D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able </w:t>
      </w:r>
      <w:r w:rsidR="006166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DB19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B1920">
        <w:rPr>
          <w:rFonts w:ascii="Times New Roman" w:hAnsi="Times New Roman" w:cs="Times New Roman"/>
          <w:i/>
          <w:iCs/>
          <w:sz w:val="24"/>
          <w:szCs w:val="24"/>
        </w:rPr>
        <w:t xml:space="preserve"> Simpler linear regression analysis for predictors of </w:t>
      </w:r>
      <w:r w:rsidRPr="00804A57">
        <w:rPr>
          <w:rFonts w:ascii="Times New Roman" w:hAnsi="Times New Roman" w:cs="Times New Roman"/>
          <w:i/>
          <w:iCs/>
          <w:sz w:val="24"/>
          <w:szCs w:val="24"/>
        </w:rPr>
        <w:t>comorbidities outcome after surgery. R: Pearson coefficient; SBP: systolic blood pressure</w:t>
      </w:r>
      <w:r w:rsidR="008C5FE6" w:rsidRPr="00804A57">
        <w:rPr>
          <w:rFonts w:ascii="Times New Roman" w:hAnsi="Times New Roman" w:cs="Times New Roman"/>
          <w:i/>
          <w:iCs/>
          <w:sz w:val="24"/>
          <w:szCs w:val="24"/>
        </w:rPr>
        <w:t>; n.a.: not available.</w:t>
      </w:r>
      <w:r w:rsidRPr="00804A57">
        <w:rPr>
          <w:rFonts w:ascii="Times New Roman" w:hAnsi="Times New Roman" w:cs="Times New Roman"/>
          <w:i/>
          <w:iCs/>
          <w:sz w:val="24"/>
          <w:szCs w:val="24"/>
        </w:rPr>
        <w:t xml:space="preserve"> * office measurements, 24-h ambulatory blood pressure monitoring and/or echocardiography. # SBP threshold for hypertension set at 120, 130 or 140 mmHg. £ fasting glycaemia, glycosylated haemoglobin and/or post prandial measurements.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9"/>
        <w:gridCol w:w="1882"/>
        <w:gridCol w:w="810"/>
        <w:gridCol w:w="811"/>
        <w:gridCol w:w="811"/>
        <w:gridCol w:w="1775"/>
        <w:gridCol w:w="1090"/>
      </w:tblGrid>
      <w:tr w:rsidR="001672FD" w:rsidRPr="00DB1920" w14:paraId="156C0A0C" w14:textId="77777777" w:rsidTr="00BF4ABF">
        <w:tc>
          <w:tcPr>
            <w:tcW w:w="2518" w:type="dxa"/>
            <w:shd w:val="clear" w:color="auto" w:fill="808080" w:themeFill="background1" w:themeFillShade="80"/>
            <w:vAlign w:val="center"/>
          </w:tcPr>
          <w:p w14:paraId="589291A6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Outcome after surgery</w:t>
            </w:r>
          </w:p>
        </w:tc>
        <w:tc>
          <w:tcPr>
            <w:tcW w:w="1955" w:type="dxa"/>
            <w:shd w:val="clear" w:color="auto" w:fill="808080" w:themeFill="background1" w:themeFillShade="80"/>
            <w:vAlign w:val="center"/>
          </w:tcPr>
          <w:p w14:paraId="09EA7802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Predictor</w:t>
            </w:r>
          </w:p>
        </w:tc>
        <w:tc>
          <w:tcPr>
            <w:tcW w:w="817" w:type="dxa"/>
            <w:shd w:val="clear" w:color="auto" w:fill="808080" w:themeFill="background1" w:themeFillShade="80"/>
            <w:vAlign w:val="center"/>
          </w:tcPr>
          <w:p w14:paraId="030A8B05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</w:p>
        </w:tc>
        <w:tc>
          <w:tcPr>
            <w:tcW w:w="818" w:type="dxa"/>
            <w:shd w:val="clear" w:color="auto" w:fill="808080" w:themeFill="background1" w:themeFillShade="80"/>
            <w:vAlign w:val="center"/>
          </w:tcPr>
          <w:p w14:paraId="4683EB53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</w:t>
            </w: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8" w:type="dxa"/>
            <w:shd w:val="clear" w:color="auto" w:fill="808080" w:themeFill="background1" w:themeFillShade="80"/>
            <w:vAlign w:val="center"/>
          </w:tcPr>
          <w:p w14:paraId="4DE7A4F2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</w:t>
            </w:r>
          </w:p>
        </w:tc>
        <w:tc>
          <w:tcPr>
            <w:tcW w:w="1831" w:type="dxa"/>
            <w:shd w:val="clear" w:color="auto" w:fill="808080" w:themeFill="background1" w:themeFillShade="80"/>
            <w:vAlign w:val="center"/>
          </w:tcPr>
          <w:p w14:paraId="4AAFC7EE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Correlation</w:t>
            </w:r>
          </w:p>
        </w:tc>
        <w:tc>
          <w:tcPr>
            <w:tcW w:w="1097" w:type="dxa"/>
            <w:shd w:val="clear" w:color="auto" w:fill="808080" w:themeFill="background1" w:themeFillShade="80"/>
            <w:vAlign w:val="center"/>
          </w:tcPr>
          <w:p w14:paraId="5495E481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Strength</w:t>
            </w:r>
          </w:p>
        </w:tc>
      </w:tr>
      <w:tr w:rsidR="001672FD" w:rsidRPr="00DB1920" w14:paraId="61CA92CB" w14:textId="77777777" w:rsidTr="00BF4ABF">
        <w:tc>
          <w:tcPr>
            <w:tcW w:w="2518" w:type="dxa"/>
            <w:vAlign w:val="center"/>
          </w:tcPr>
          <w:p w14:paraId="6CCA3863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Arterial hypertension recovery</w:t>
            </w:r>
          </w:p>
        </w:tc>
        <w:tc>
          <w:tcPr>
            <w:tcW w:w="1955" w:type="dxa"/>
            <w:vAlign w:val="center"/>
          </w:tcPr>
          <w:p w14:paraId="24E2197D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Number of tools for assessment *</w:t>
            </w:r>
          </w:p>
        </w:tc>
        <w:tc>
          <w:tcPr>
            <w:tcW w:w="817" w:type="dxa"/>
            <w:vAlign w:val="center"/>
          </w:tcPr>
          <w:p w14:paraId="10F89D11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0.384</w:t>
            </w:r>
          </w:p>
        </w:tc>
        <w:tc>
          <w:tcPr>
            <w:tcW w:w="818" w:type="dxa"/>
            <w:vAlign w:val="center"/>
          </w:tcPr>
          <w:p w14:paraId="2CAE41AF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  <w:tc>
          <w:tcPr>
            <w:tcW w:w="818" w:type="dxa"/>
            <w:vAlign w:val="center"/>
          </w:tcPr>
          <w:p w14:paraId="341AAC5E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1831" w:type="dxa"/>
            <w:vAlign w:val="center"/>
          </w:tcPr>
          <w:p w14:paraId="7E536B29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Trend to inverse correlation</w:t>
            </w:r>
          </w:p>
        </w:tc>
        <w:tc>
          <w:tcPr>
            <w:tcW w:w="1097" w:type="dxa"/>
            <w:vAlign w:val="center"/>
          </w:tcPr>
          <w:p w14:paraId="6142FC01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1672FD" w:rsidRPr="00DB1920" w14:paraId="3EBBCF56" w14:textId="77777777" w:rsidTr="00BF4ABF">
        <w:tc>
          <w:tcPr>
            <w:tcW w:w="2518" w:type="dxa"/>
            <w:vAlign w:val="center"/>
          </w:tcPr>
          <w:p w14:paraId="336E6D2F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Arterial hypertension recovery</w:t>
            </w:r>
          </w:p>
        </w:tc>
        <w:tc>
          <w:tcPr>
            <w:tcW w:w="1955" w:type="dxa"/>
            <w:vAlign w:val="center"/>
          </w:tcPr>
          <w:p w14:paraId="2E5F6C15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Definition based on SBP #</w:t>
            </w:r>
          </w:p>
        </w:tc>
        <w:tc>
          <w:tcPr>
            <w:tcW w:w="817" w:type="dxa"/>
            <w:vAlign w:val="center"/>
          </w:tcPr>
          <w:p w14:paraId="1DC22A76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818" w:type="dxa"/>
            <w:vAlign w:val="center"/>
          </w:tcPr>
          <w:p w14:paraId="3CE3B9A0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818" w:type="dxa"/>
            <w:vAlign w:val="center"/>
          </w:tcPr>
          <w:p w14:paraId="0754F0EA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0.352</w:t>
            </w:r>
          </w:p>
        </w:tc>
        <w:tc>
          <w:tcPr>
            <w:tcW w:w="1831" w:type="dxa"/>
            <w:vAlign w:val="center"/>
          </w:tcPr>
          <w:p w14:paraId="60AB06EA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97" w:type="dxa"/>
            <w:vAlign w:val="center"/>
          </w:tcPr>
          <w:p w14:paraId="1C352AE8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1672FD" w:rsidRPr="00DB1920" w14:paraId="41CACD35" w14:textId="77777777" w:rsidTr="00BF4ABF">
        <w:tc>
          <w:tcPr>
            <w:tcW w:w="2518" w:type="dxa"/>
            <w:vAlign w:val="center"/>
          </w:tcPr>
          <w:p w14:paraId="460DF3E7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Antihypertensive drugs reduction</w:t>
            </w:r>
          </w:p>
        </w:tc>
        <w:tc>
          <w:tcPr>
            <w:tcW w:w="1955" w:type="dxa"/>
            <w:vAlign w:val="center"/>
          </w:tcPr>
          <w:p w14:paraId="2052C0B5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Number of tools for assessment *</w:t>
            </w:r>
          </w:p>
        </w:tc>
        <w:tc>
          <w:tcPr>
            <w:tcW w:w="817" w:type="dxa"/>
            <w:vAlign w:val="center"/>
          </w:tcPr>
          <w:p w14:paraId="21B7A6CA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818" w:type="dxa"/>
            <w:vAlign w:val="center"/>
          </w:tcPr>
          <w:p w14:paraId="1D864E5B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818" w:type="dxa"/>
            <w:vAlign w:val="center"/>
          </w:tcPr>
          <w:p w14:paraId="4478AAA9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0.452</w:t>
            </w:r>
          </w:p>
        </w:tc>
        <w:tc>
          <w:tcPr>
            <w:tcW w:w="1831" w:type="dxa"/>
            <w:vAlign w:val="center"/>
          </w:tcPr>
          <w:p w14:paraId="6437F8AC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97" w:type="dxa"/>
            <w:vAlign w:val="center"/>
          </w:tcPr>
          <w:p w14:paraId="524BD22C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1672FD" w:rsidRPr="00DB1920" w14:paraId="4A9038B9" w14:textId="77777777" w:rsidTr="00BF4ABF">
        <w:tc>
          <w:tcPr>
            <w:tcW w:w="2518" w:type="dxa"/>
            <w:vAlign w:val="center"/>
          </w:tcPr>
          <w:p w14:paraId="1C2F4153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Antihypertensive drugs reduction</w:t>
            </w:r>
          </w:p>
        </w:tc>
        <w:tc>
          <w:tcPr>
            <w:tcW w:w="1955" w:type="dxa"/>
            <w:vAlign w:val="center"/>
          </w:tcPr>
          <w:p w14:paraId="5BE9C32D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Definition based on SBP #</w:t>
            </w:r>
          </w:p>
        </w:tc>
        <w:tc>
          <w:tcPr>
            <w:tcW w:w="817" w:type="dxa"/>
            <w:vAlign w:val="center"/>
          </w:tcPr>
          <w:p w14:paraId="31F16DC4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818" w:type="dxa"/>
            <w:vAlign w:val="center"/>
          </w:tcPr>
          <w:p w14:paraId="160CB892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818" w:type="dxa"/>
            <w:vAlign w:val="center"/>
          </w:tcPr>
          <w:p w14:paraId="01116DA5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  <w:tc>
          <w:tcPr>
            <w:tcW w:w="1831" w:type="dxa"/>
            <w:vAlign w:val="center"/>
          </w:tcPr>
          <w:p w14:paraId="14A7F3B0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97" w:type="dxa"/>
            <w:vAlign w:val="center"/>
          </w:tcPr>
          <w:p w14:paraId="0A3C68E1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1672FD" w:rsidRPr="00DB1920" w14:paraId="3631FC14" w14:textId="77777777" w:rsidTr="00BF4ABF">
        <w:tc>
          <w:tcPr>
            <w:tcW w:w="2518" w:type="dxa"/>
            <w:vAlign w:val="center"/>
          </w:tcPr>
          <w:p w14:paraId="19DCDD26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Glucose homeostasis recovery</w:t>
            </w:r>
          </w:p>
        </w:tc>
        <w:tc>
          <w:tcPr>
            <w:tcW w:w="1955" w:type="dxa"/>
            <w:vAlign w:val="center"/>
          </w:tcPr>
          <w:p w14:paraId="491CC4FC" w14:textId="6AB18E6B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Number of tools for assessment £</w:t>
            </w:r>
          </w:p>
        </w:tc>
        <w:tc>
          <w:tcPr>
            <w:tcW w:w="817" w:type="dxa"/>
            <w:vAlign w:val="center"/>
          </w:tcPr>
          <w:p w14:paraId="6FBDCAA4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818" w:type="dxa"/>
            <w:vAlign w:val="center"/>
          </w:tcPr>
          <w:p w14:paraId="5F13E046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818" w:type="dxa"/>
            <w:vAlign w:val="center"/>
          </w:tcPr>
          <w:p w14:paraId="188FD073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1831" w:type="dxa"/>
            <w:vAlign w:val="center"/>
          </w:tcPr>
          <w:p w14:paraId="603C7848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097" w:type="dxa"/>
            <w:vAlign w:val="center"/>
          </w:tcPr>
          <w:p w14:paraId="0ADF5E51" w14:textId="77777777" w:rsidR="001672FD" w:rsidRPr="00DB1920" w:rsidRDefault="001672FD" w:rsidP="00BF4A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20"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</w:tbl>
    <w:p w14:paraId="5B4DF3E5" w14:textId="77777777" w:rsidR="001672FD" w:rsidRPr="00DB1920" w:rsidRDefault="001672FD" w:rsidP="00872E4A">
      <w:pPr>
        <w:jc w:val="both"/>
        <w:rPr>
          <w:i/>
          <w:iCs/>
        </w:rPr>
      </w:pPr>
    </w:p>
    <w:p w14:paraId="69E359AF" w14:textId="2B5E9943" w:rsidR="006946D0" w:rsidRPr="006946D0" w:rsidRDefault="006946D0" w:rsidP="006946D0">
      <w:pPr>
        <w:tabs>
          <w:tab w:val="left" w:pos="1032"/>
        </w:tabs>
        <w:rPr>
          <w:rFonts w:ascii="Times New Roman" w:hAnsi="Times New Roman" w:cs="Times New Roman"/>
          <w:sz w:val="24"/>
          <w:szCs w:val="24"/>
        </w:rPr>
      </w:pPr>
    </w:p>
    <w:sectPr w:rsidR="006946D0" w:rsidRPr="006946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BC12" w14:textId="77777777" w:rsidR="00F11369" w:rsidRPr="00DB1920" w:rsidRDefault="00F11369" w:rsidP="003B09BD">
      <w:pPr>
        <w:spacing w:after="0" w:line="240" w:lineRule="auto"/>
      </w:pPr>
      <w:r w:rsidRPr="00DB1920">
        <w:separator/>
      </w:r>
    </w:p>
  </w:endnote>
  <w:endnote w:type="continuationSeparator" w:id="0">
    <w:p w14:paraId="5DB3B3B3" w14:textId="77777777" w:rsidR="00F11369" w:rsidRPr="00DB1920" w:rsidRDefault="00F11369" w:rsidP="003B09BD">
      <w:pPr>
        <w:spacing w:after="0" w:line="240" w:lineRule="auto"/>
      </w:pPr>
      <w:r w:rsidRPr="00DB19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  <w:lang w:val="en-US"/>
      </w:rPr>
      <w:id w:val="-748652636"/>
      <w:docPartObj>
        <w:docPartGallery w:val="Page Numbers (Bottom of Page)"/>
        <w:docPartUnique/>
      </w:docPartObj>
    </w:sdtPr>
    <w:sdtContent>
      <w:bookmarkStart w:id="1" w:name="_Hlk174628588" w:displacedByCustomXml="prev"/>
      <w:p w14:paraId="04335DD7" w14:textId="1D92C325" w:rsidR="0017343D" w:rsidRPr="0017343D" w:rsidRDefault="0017343D" w:rsidP="0017343D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1D5297">
          <w:rPr>
            <w:rFonts w:ascii="Times New Roman" w:hAnsi="Times New Roman" w:cs="Times New Roman"/>
            <w:sz w:val="24"/>
            <w:szCs w:val="24"/>
            <w:lang w:val="en-US"/>
          </w:rPr>
          <w:t>Survey CV risk in CS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, Supplementary Data</w:t>
        </w:r>
        <w:r w:rsidRPr="001D5297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bookmarkEnd w:id="1"/>
        <w:r w:rsidRPr="001D5297">
          <w:rPr>
            <w:rFonts w:ascii="Times New Roman" w:hAnsi="Times New Roman" w:cs="Times New Roman"/>
            <w:sz w:val="24"/>
            <w:szCs w:val="24"/>
            <w:lang w:val="en-US"/>
          </w:rPr>
          <w:t xml:space="preserve">– page. </w:t>
        </w:r>
        <w:r w:rsidRPr="0017343D">
          <w:rPr>
            <w:rFonts w:ascii="Times New Roman" w:hAnsi="Times New Roman" w:cs="Times New Roman"/>
            <w:sz w:val="24"/>
            <w:szCs w:val="24"/>
            <w:lang w:val="en-US"/>
          </w:rPr>
          <w:fldChar w:fldCharType="begin"/>
        </w:r>
        <w:r w:rsidRPr="0017343D">
          <w:rPr>
            <w:rFonts w:ascii="Times New Roman" w:hAnsi="Times New Roman" w:cs="Times New Roman"/>
            <w:sz w:val="24"/>
            <w:szCs w:val="24"/>
            <w:lang w:val="en-US"/>
          </w:rPr>
          <w:instrText>PAGE   \* MERGEFORMAT</w:instrText>
        </w:r>
        <w:r w:rsidRPr="0017343D">
          <w:rPr>
            <w:rFonts w:ascii="Times New Roman" w:hAnsi="Times New Roman" w:cs="Times New Roman"/>
            <w:sz w:val="24"/>
            <w:szCs w:val="24"/>
            <w:lang w:val="en-US"/>
          </w:rPr>
          <w:fldChar w:fldCharType="separate"/>
        </w:r>
        <w:r w:rsidRPr="0017343D">
          <w:rPr>
            <w:rFonts w:ascii="Times New Roman" w:hAnsi="Times New Roman" w:cs="Times New Roman"/>
            <w:sz w:val="24"/>
            <w:szCs w:val="24"/>
            <w:lang w:val="en-US"/>
          </w:rPr>
          <w:t>2</w:t>
        </w:r>
        <w:r w:rsidRPr="0017343D">
          <w:rPr>
            <w:rFonts w:ascii="Times New Roman" w:hAnsi="Times New Roman" w:cs="Times New Roman"/>
            <w:sz w:val="24"/>
            <w:szCs w:val="24"/>
            <w:lang w:val="en-US"/>
          </w:rPr>
          <w:fldChar w:fldCharType="end"/>
        </w:r>
      </w:p>
    </w:sdtContent>
  </w:sdt>
  <w:p w14:paraId="1855333A" w14:textId="77777777" w:rsidR="0017343D" w:rsidRDefault="001734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F212" w14:textId="77777777" w:rsidR="00F11369" w:rsidRPr="00DB1920" w:rsidRDefault="00F11369" w:rsidP="003B09BD">
      <w:pPr>
        <w:spacing w:after="0" w:line="240" w:lineRule="auto"/>
      </w:pPr>
      <w:r w:rsidRPr="00DB1920">
        <w:separator/>
      </w:r>
    </w:p>
  </w:footnote>
  <w:footnote w:type="continuationSeparator" w:id="0">
    <w:p w14:paraId="116634D5" w14:textId="77777777" w:rsidR="00F11369" w:rsidRPr="00DB1920" w:rsidRDefault="00F11369" w:rsidP="003B09BD">
      <w:pPr>
        <w:spacing w:after="0" w:line="240" w:lineRule="auto"/>
      </w:pPr>
      <w:r w:rsidRPr="00DB192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8D"/>
    <w:rsid w:val="00003467"/>
    <w:rsid w:val="00051833"/>
    <w:rsid w:val="000D4267"/>
    <w:rsid w:val="00106D25"/>
    <w:rsid w:val="0011003A"/>
    <w:rsid w:val="001375DC"/>
    <w:rsid w:val="0016669A"/>
    <w:rsid w:val="001672FD"/>
    <w:rsid w:val="0017343D"/>
    <w:rsid w:val="001C08CC"/>
    <w:rsid w:val="001F3A4C"/>
    <w:rsid w:val="0020207C"/>
    <w:rsid w:val="0021685C"/>
    <w:rsid w:val="0025470E"/>
    <w:rsid w:val="0026069F"/>
    <w:rsid w:val="0028539E"/>
    <w:rsid w:val="002A3EF3"/>
    <w:rsid w:val="002C3350"/>
    <w:rsid w:val="00327F0E"/>
    <w:rsid w:val="003325BA"/>
    <w:rsid w:val="0034487B"/>
    <w:rsid w:val="00356C0D"/>
    <w:rsid w:val="003B09BD"/>
    <w:rsid w:val="003E22BF"/>
    <w:rsid w:val="00433454"/>
    <w:rsid w:val="00434C90"/>
    <w:rsid w:val="004541F0"/>
    <w:rsid w:val="00463771"/>
    <w:rsid w:val="00466E7D"/>
    <w:rsid w:val="0047595F"/>
    <w:rsid w:val="004A1D8C"/>
    <w:rsid w:val="004E6779"/>
    <w:rsid w:val="004F6DEB"/>
    <w:rsid w:val="00554499"/>
    <w:rsid w:val="0056715F"/>
    <w:rsid w:val="0057238D"/>
    <w:rsid w:val="005A2BDA"/>
    <w:rsid w:val="005B16FD"/>
    <w:rsid w:val="005B78B8"/>
    <w:rsid w:val="005C408E"/>
    <w:rsid w:val="005D3670"/>
    <w:rsid w:val="00605212"/>
    <w:rsid w:val="00616623"/>
    <w:rsid w:val="00635D39"/>
    <w:rsid w:val="00646ED8"/>
    <w:rsid w:val="00647BF6"/>
    <w:rsid w:val="00660AC3"/>
    <w:rsid w:val="006946D0"/>
    <w:rsid w:val="006A0975"/>
    <w:rsid w:val="00731C33"/>
    <w:rsid w:val="00742A15"/>
    <w:rsid w:val="00754747"/>
    <w:rsid w:val="00771C5D"/>
    <w:rsid w:val="007C1D4D"/>
    <w:rsid w:val="007D2FE6"/>
    <w:rsid w:val="007E0C8D"/>
    <w:rsid w:val="00804A57"/>
    <w:rsid w:val="008143DF"/>
    <w:rsid w:val="008602AD"/>
    <w:rsid w:val="0086675B"/>
    <w:rsid w:val="00872E4A"/>
    <w:rsid w:val="0089679D"/>
    <w:rsid w:val="008A4B5D"/>
    <w:rsid w:val="008C5FE6"/>
    <w:rsid w:val="008D223A"/>
    <w:rsid w:val="009418CB"/>
    <w:rsid w:val="009554A6"/>
    <w:rsid w:val="0096341C"/>
    <w:rsid w:val="00963BB5"/>
    <w:rsid w:val="00991EA9"/>
    <w:rsid w:val="009A20CE"/>
    <w:rsid w:val="009A69CE"/>
    <w:rsid w:val="009A6E4E"/>
    <w:rsid w:val="00A26272"/>
    <w:rsid w:val="00A470A9"/>
    <w:rsid w:val="00AB3532"/>
    <w:rsid w:val="00AB4B8B"/>
    <w:rsid w:val="00AC415C"/>
    <w:rsid w:val="00AD16E1"/>
    <w:rsid w:val="00AD5E21"/>
    <w:rsid w:val="00AF0B23"/>
    <w:rsid w:val="00B066A8"/>
    <w:rsid w:val="00B55CCD"/>
    <w:rsid w:val="00B7317E"/>
    <w:rsid w:val="00BA545B"/>
    <w:rsid w:val="00C6430F"/>
    <w:rsid w:val="00CA6DCF"/>
    <w:rsid w:val="00D00216"/>
    <w:rsid w:val="00D0126B"/>
    <w:rsid w:val="00D07EA7"/>
    <w:rsid w:val="00D45E1D"/>
    <w:rsid w:val="00D5331C"/>
    <w:rsid w:val="00D61310"/>
    <w:rsid w:val="00D80DC9"/>
    <w:rsid w:val="00D91F3F"/>
    <w:rsid w:val="00D93220"/>
    <w:rsid w:val="00DA3A06"/>
    <w:rsid w:val="00DB1920"/>
    <w:rsid w:val="00DB4DCC"/>
    <w:rsid w:val="00DB687B"/>
    <w:rsid w:val="00E2481E"/>
    <w:rsid w:val="00E701F1"/>
    <w:rsid w:val="00E87082"/>
    <w:rsid w:val="00EE0848"/>
    <w:rsid w:val="00EF65F4"/>
    <w:rsid w:val="00F11369"/>
    <w:rsid w:val="00F37157"/>
    <w:rsid w:val="00F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DB5E"/>
  <w15:docId w15:val="{DEE3AC5D-8010-410A-B5B5-8A1A5737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2E4A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6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reen-reader-only">
    <w:name w:val="screen-reader-only"/>
    <w:basedOn w:val="Carpredefinitoparagrafo"/>
    <w:rsid w:val="0021685C"/>
  </w:style>
  <w:style w:type="paragraph" w:styleId="Intestazione">
    <w:name w:val="header"/>
    <w:basedOn w:val="Normale"/>
    <w:link w:val="IntestazioneCarattere"/>
    <w:uiPriority w:val="99"/>
    <w:unhideWhenUsed/>
    <w:rsid w:val="003B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9BD"/>
  </w:style>
  <w:style w:type="paragraph" w:styleId="Pidipagina">
    <w:name w:val="footer"/>
    <w:basedOn w:val="Normale"/>
    <w:link w:val="PidipaginaCarattere"/>
    <w:uiPriority w:val="99"/>
    <w:unhideWhenUsed/>
    <w:rsid w:val="003B0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52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15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0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9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2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1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6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7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9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26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7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7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08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28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8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41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72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2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7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9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4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8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2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4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0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3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29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1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5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5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9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6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4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32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88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7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7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2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6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3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4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5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43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35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59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2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3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1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0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9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1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9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4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58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4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6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23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19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48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7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6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4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1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1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4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2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86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6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124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24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9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58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1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95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86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7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3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89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4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51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8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7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9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82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3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1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ss\Desktop\Ricerche%20e%20progetti\CS%20Survey\Ultimissimo%20spero\Nuova%20cartella\Nuovi%20conteggi\CV-CS%20survey%20corretto%2019%20rispos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ss\Desktop\Ricerche%20e%20progetti\CS%20Survey\Ultimissimo%20spero\Nuova%20cartella\Nuovi%20conteggi\CV-CS%20survey%20corretto%2019%20risposte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ss\Desktop\CS%20Survey\CV-CS%20survey(Ripristinato%20automaticamente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ss\Desktop\CS%20Survey\CV-CS%20survey(Ripristinato%20automaticamente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0000"/>
            </a:solidFill>
            <a:ln w="25400">
              <a:noFill/>
            </a:ln>
          </c:spPr>
          <c:invertIfNegative val="0"/>
          <c:cat>
            <c:strRef>
              <c:f>Content!$AT$24:$AT$29</c:f>
              <c:strCache>
                <c:ptCount val="6"/>
                <c:pt idx="0">
                  <c:v>DST</c:v>
                </c:pt>
                <c:pt idx="1">
                  <c:v>EMSC/LNSC</c:v>
                </c:pt>
                <c:pt idx="2">
                  <c:v>other*</c:v>
                </c:pt>
                <c:pt idx="3">
                  <c:v>MSC</c:v>
                </c:pt>
                <c:pt idx="4">
                  <c:v>LNSC</c:v>
                </c:pt>
                <c:pt idx="5">
                  <c:v>UFC</c:v>
                </c:pt>
              </c:strCache>
            </c:strRef>
          </c:cat>
          <c:val>
            <c:numRef>
              <c:f>Content!$AU$24:$AU$29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11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61-4E35-9320-C732598907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50424976"/>
        <c:axId val="1"/>
      </c:barChart>
      <c:catAx>
        <c:axId val="1450424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450424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FC000"/>
            </a:solidFill>
            <a:ln w="25400">
              <a:noFill/>
            </a:ln>
          </c:spPr>
          <c:invertIfNegative val="0"/>
          <c:cat>
            <c:strRef>
              <c:f>Content!$BX$25:$BX$29</c:f>
              <c:strCache>
                <c:ptCount val="5"/>
                <c:pt idx="0">
                  <c:v>HbA1c</c:v>
                </c:pt>
                <c:pt idx="1">
                  <c:v>Morning fasting glycaemia</c:v>
                </c:pt>
                <c:pt idx="2">
                  <c:v>2h OGTT</c:v>
                </c:pt>
                <c:pt idx="3">
                  <c:v>HOMA-IR</c:v>
                </c:pt>
                <c:pt idx="4">
                  <c:v>2h post-prandial glucose</c:v>
                </c:pt>
              </c:strCache>
            </c:strRef>
          </c:cat>
          <c:val>
            <c:numRef>
              <c:f>Content!$BY$25:$BY$29</c:f>
              <c:numCache>
                <c:formatCode>0.000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5</c:v>
                </c:pt>
                <c:pt idx="3">
                  <c:v>5</c:v>
                </c:pt>
                <c:pt idx="4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5A-49F4-99F1-7FD7CC029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5369040"/>
        <c:axId val="1"/>
      </c:barChart>
      <c:catAx>
        <c:axId val="45536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ln w="6350">
            <a:noFill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it-IT"/>
          </a:p>
        </c:txPr>
        <c:crossAx val="455369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it-IT" sz="16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A.</a:t>
            </a:r>
          </a:p>
        </c:rich>
      </c:tx>
      <c:layout>
        <c:manualLayout>
          <c:xMode val="edge"/>
          <c:yMode val="edge"/>
          <c:x val="0"/>
          <c:y val="4.5863467983771389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mean</c:v>
          </c:tx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Content!$DG$24:$DG$30</c:f>
              <c:strCache>
                <c:ptCount val="7"/>
                <c:pt idx="0">
                  <c:v>ECG</c:v>
                </c:pt>
                <c:pt idx="1">
                  <c:v>ecocardiography</c:v>
                </c:pt>
                <c:pt idx="2">
                  <c:v>carothid US</c:v>
                </c:pt>
                <c:pt idx="3">
                  <c:v>other*</c:v>
                </c:pt>
                <c:pt idx="4">
                  <c:v>coronary CT or angiography</c:v>
                </c:pt>
                <c:pt idx="5">
                  <c:v>cerebral magnetic angiography</c:v>
                </c:pt>
                <c:pt idx="6">
                  <c:v>cardiac MRI</c:v>
                </c:pt>
              </c:strCache>
            </c:strRef>
          </c:cat>
          <c:val>
            <c:numRef>
              <c:f>Content!$DH$24:$DH$30</c:f>
              <c:numCache>
                <c:formatCode>General</c:formatCode>
                <c:ptCount val="7"/>
                <c:pt idx="0">
                  <c:v>13</c:v>
                </c:pt>
                <c:pt idx="1">
                  <c:v>11</c:v>
                </c:pt>
                <c:pt idx="2">
                  <c:v>9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08-4502-8283-8FFD303D40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483264752"/>
        <c:axId val="1"/>
      </c:barChart>
      <c:catAx>
        <c:axId val="148326475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nl-N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nl-NL"/>
          </a:p>
        </c:txPr>
        <c:crossAx val="14832647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it-IT" sz="16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B.</a:t>
            </a:r>
          </a:p>
        </c:rich>
      </c:tx>
      <c:layout>
        <c:manualLayout>
          <c:xMode val="edge"/>
          <c:yMode val="edge"/>
          <c:x val="1.2761166837959325E-3"/>
          <c:y val="7.055918151349444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5B9BD5"/>
            </a:solidFill>
            <a:ln w="25400">
              <a:noFill/>
            </a:ln>
          </c:spPr>
          <c:invertIfNegative val="0"/>
          <c:cat>
            <c:strRef>
              <c:f>Content!$DJ$24:$DJ$28</c:f>
              <c:strCache>
                <c:ptCount val="5"/>
                <c:pt idx="0">
                  <c:v>At diagnosis and regularly during follow-up in both remittent and persistent CS</c:v>
                </c:pt>
                <c:pt idx="1">
                  <c:v>At CS diagnosis</c:v>
                </c:pt>
                <c:pt idx="2">
                  <c:v>Regularly during medical treatment only for persistent/recurrent CS or not-amenable for surgery</c:v>
                </c:pt>
                <c:pt idx="3">
                  <c:v>Not routinely recommended</c:v>
                </c:pt>
                <c:pt idx="4">
                  <c:v>3-6 months after surgery (pituitary or adrenal or NET)</c:v>
                </c:pt>
              </c:strCache>
            </c:strRef>
          </c:cat>
          <c:val>
            <c:numRef>
              <c:f>Content!$DK$24:$DK$28</c:f>
              <c:numCache>
                <c:formatCode>General</c:formatCode>
                <c:ptCount val="5"/>
                <c:pt idx="0">
                  <c:v>9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5-4A7F-B27D-4D62160A3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82913584"/>
        <c:axId val="1"/>
      </c:barChart>
      <c:catAx>
        <c:axId val="138291358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nl-N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nl-NL"/>
          </a:p>
        </c:txPr>
        <c:crossAx val="138291358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A7B7-BADF-4C39-AC44-76969E7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Mondin</dc:creator>
  <cp:keywords/>
  <dc:description/>
  <cp:lastModifiedBy>Alessandro Mondin</cp:lastModifiedBy>
  <cp:revision>10</cp:revision>
  <dcterms:created xsi:type="dcterms:W3CDTF">2024-12-08T07:43:00Z</dcterms:created>
  <dcterms:modified xsi:type="dcterms:W3CDTF">2025-02-28T12:43:00Z</dcterms:modified>
</cp:coreProperties>
</file>