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9A7F41" w14:textId="77777777" w:rsidR="00C90AB6" w:rsidRPr="00A70A7F" w:rsidRDefault="00C90AB6" w:rsidP="00C90AB6">
      <w:pPr>
        <w:pBdr>
          <w:top w:val="nil"/>
          <w:left w:val="nil"/>
          <w:bottom w:val="nil"/>
          <w:right w:val="nil"/>
          <w:between w:val="nil"/>
        </w:pBdr>
        <w:spacing w:line="360" w:lineRule="auto"/>
        <w:jc w:val="center"/>
        <w:rPr>
          <w:b/>
          <w:sz w:val="28"/>
          <w:szCs w:val="28"/>
        </w:rPr>
      </w:pPr>
      <w:r w:rsidRPr="00A70A7F">
        <w:rPr>
          <w:b/>
          <w:sz w:val="28"/>
          <w:szCs w:val="28"/>
        </w:rPr>
        <w:t>Redirecting the Route: Monocyte-Mediated Delivery of oHSV-1 Across a Human BBB-on-chip Model</w:t>
      </w:r>
    </w:p>
    <w:p w14:paraId="57E2BBAA" w14:textId="77777777" w:rsidR="00C90AB6" w:rsidRPr="00A70A7F" w:rsidRDefault="00C90AB6" w:rsidP="00C90AB6">
      <w:pPr>
        <w:pBdr>
          <w:top w:val="nil"/>
          <w:left w:val="nil"/>
          <w:bottom w:val="nil"/>
          <w:right w:val="nil"/>
          <w:between w:val="nil"/>
        </w:pBdr>
        <w:spacing w:line="360" w:lineRule="auto"/>
        <w:jc w:val="center"/>
        <w:rPr>
          <w:b/>
          <w:sz w:val="28"/>
          <w:szCs w:val="28"/>
        </w:rPr>
      </w:pPr>
    </w:p>
    <w:p w14:paraId="00000004" w14:textId="1CA743DA" w:rsidR="00C314E0" w:rsidRPr="00C441C3" w:rsidRDefault="003D595D" w:rsidP="00C90AB6">
      <w:pPr>
        <w:pBdr>
          <w:top w:val="nil"/>
          <w:left w:val="nil"/>
          <w:bottom w:val="nil"/>
          <w:right w:val="nil"/>
          <w:between w:val="nil"/>
        </w:pBdr>
        <w:spacing w:line="360" w:lineRule="auto"/>
        <w:jc w:val="center"/>
        <w:rPr>
          <w:i/>
          <w:color w:val="000000"/>
          <w:lang w:val="it-IT"/>
        </w:rPr>
      </w:pPr>
      <w:r w:rsidRPr="00C441C3">
        <w:rPr>
          <w:i/>
          <w:color w:val="000000"/>
          <w:lang w:val="it-IT"/>
        </w:rPr>
        <w:t>Sara Micheli</w:t>
      </w:r>
      <w:r w:rsidRPr="00C441C3">
        <w:rPr>
          <w:i/>
          <w:color w:val="000000"/>
          <w:vertAlign w:val="superscript"/>
          <w:lang w:val="it-IT"/>
        </w:rPr>
        <w:t>#</w:t>
      </w:r>
      <w:r w:rsidRPr="00C441C3">
        <w:rPr>
          <w:i/>
          <w:color w:val="000000"/>
          <w:lang w:val="it-IT"/>
        </w:rPr>
        <w:t>, Alberto Reale</w:t>
      </w:r>
      <w:r w:rsidRPr="00C441C3">
        <w:rPr>
          <w:i/>
          <w:color w:val="000000"/>
          <w:vertAlign w:val="superscript"/>
          <w:lang w:val="it-IT"/>
        </w:rPr>
        <w:t>#</w:t>
      </w:r>
      <w:r w:rsidRPr="00C441C3">
        <w:rPr>
          <w:i/>
          <w:color w:val="000000"/>
          <w:lang w:val="it-IT"/>
        </w:rPr>
        <w:t xml:space="preserve">, Alessandra Rossetto, Cristina Parolin, </w:t>
      </w:r>
      <w:r w:rsidR="00A70217" w:rsidRPr="00C441C3">
        <w:rPr>
          <w:i/>
          <w:color w:val="000000"/>
          <w:lang w:val="it-IT"/>
        </w:rPr>
        <w:t xml:space="preserve">Fabio Mammano, </w:t>
      </w:r>
      <w:r w:rsidRPr="00C441C3">
        <w:rPr>
          <w:i/>
          <w:color w:val="000000"/>
          <w:lang w:val="it-IT"/>
        </w:rPr>
        <w:t>Arianna Calistri*, Elisa Cimetta*</w:t>
      </w:r>
    </w:p>
    <w:p w14:paraId="00000005" w14:textId="77777777" w:rsidR="00C314E0" w:rsidRPr="00C441C3" w:rsidRDefault="00C314E0">
      <w:pPr>
        <w:pBdr>
          <w:top w:val="nil"/>
          <w:left w:val="nil"/>
          <w:bottom w:val="nil"/>
          <w:right w:val="nil"/>
          <w:between w:val="nil"/>
        </w:pBdr>
        <w:spacing w:line="360" w:lineRule="auto"/>
        <w:rPr>
          <w:color w:val="000000"/>
          <w:lang w:val="it-IT"/>
        </w:rPr>
      </w:pPr>
    </w:p>
    <w:p w14:paraId="00000006" w14:textId="6FA4E603" w:rsidR="00C314E0" w:rsidRPr="00E635F2" w:rsidRDefault="00A4286F">
      <w:pPr>
        <w:pBdr>
          <w:top w:val="nil"/>
          <w:left w:val="nil"/>
          <w:bottom w:val="nil"/>
          <w:right w:val="nil"/>
          <w:between w:val="nil"/>
        </w:pBdr>
        <w:spacing w:line="360" w:lineRule="auto"/>
        <w:rPr>
          <w:color w:val="000000"/>
        </w:rPr>
      </w:pPr>
      <w:r w:rsidRPr="00E635F2">
        <w:rPr>
          <w:color w:val="000000"/>
        </w:rPr>
        <w:t>S</w:t>
      </w:r>
      <w:r w:rsidR="003D595D" w:rsidRPr="00E635F2">
        <w:rPr>
          <w:color w:val="000000"/>
        </w:rPr>
        <w:t xml:space="preserve">. </w:t>
      </w:r>
      <w:r w:rsidRPr="00E635F2">
        <w:rPr>
          <w:color w:val="000000"/>
        </w:rPr>
        <w:t>Micheli</w:t>
      </w:r>
      <w:r w:rsidR="003D595D" w:rsidRPr="00E635F2">
        <w:rPr>
          <w:color w:val="000000"/>
        </w:rPr>
        <w:t xml:space="preserve">, </w:t>
      </w:r>
      <w:r w:rsidRPr="00E635F2">
        <w:rPr>
          <w:color w:val="000000"/>
        </w:rPr>
        <w:t>E</w:t>
      </w:r>
      <w:r w:rsidR="003D595D" w:rsidRPr="00E635F2">
        <w:rPr>
          <w:color w:val="000000"/>
        </w:rPr>
        <w:t xml:space="preserve">. </w:t>
      </w:r>
      <w:r w:rsidRPr="00E635F2">
        <w:rPr>
          <w:color w:val="000000"/>
        </w:rPr>
        <w:t>Cimetta</w:t>
      </w:r>
    </w:p>
    <w:p w14:paraId="2E78A61B" w14:textId="08F67C4B" w:rsidR="006A07E6" w:rsidRPr="00E635F2" w:rsidRDefault="006A07E6" w:rsidP="006A07E6">
      <w:pPr>
        <w:pBdr>
          <w:top w:val="nil"/>
          <w:left w:val="nil"/>
          <w:bottom w:val="nil"/>
          <w:right w:val="nil"/>
          <w:between w:val="nil"/>
        </w:pBdr>
        <w:spacing w:line="360" w:lineRule="auto"/>
        <w:rPr>
          <w:color w:val="000000"/>
        </w:rPr>
      </w:pPr>
      <w:r w:rsidRPr="00E635F2">
        <w:rPr>
          <w:color w:val="000000"/>
        </w:rPr>
        <w:t>Department of Industrial Engineering, University of Padua, Padua, Italy and</w:t>
      </w:r>
    </w:p>
    <w:p w14:paraId="358F3871" w14:textId="77777777" w:rsidR="006A07E6" w:rsidRPr="00C441C3" w:rsidRDefault="006A07E6" w:rsidP="006A07E6">
      <w:pPr>
        <w:pBdr>
          <w:top w:val="nil"/>
          <w:left w:val="nil"/>
          <w:bottom w:val="nil"/>
          <w:right w:val="nil"/>
          <w:between w:val="nil"/>
        </w:pBdr>
        <w:spacing w:line="360" w:lineRule="auto"/>
        <w:rPr>
          <w:color w:val="000000"/>
          <w:lang w:val="it-IT"/>
        </w:rPr>
      </w:pPr>
      <w:r w:rsidRPr="00C441C3">
        <w:rPr>
          <w:color w:val="000000"/>
          <w:lang w:val="it-IT"/>
        </w:rPr>
        <w:t xml:space="preserve">Fondazione Istituto di Ricerca Pediatrica Città della Speranza, Padua, </w:t>
      </w:r>
      <w:proofErr w:type="spellStart"/>
      <w:r w:rsidRPr="00C441C3">
        <w:rPr>
          <w:color w:val="000000"/>
          <w:lang w:val="it-IT"/>
        </w:rPr>
        <w:t>Italy</w:t>
      </w:r>
      <w:proofErr w:type="spellEnd"/>
      <w:r w:rsidRPr="00C441C3">
        <w:rPr>
          <w:color w:val="000000"/>
          <w:lang w:val="it-IT"/>
        </w:rPr>
        <w:t xml:space="preserve"> </w:t>
      </w:r>
    </w:p>
    <w:p w14:paraId="00000008" w14:textId="3631F4F5" w:rsidR="00C314E0" w:rsidRPr="00C441C3" w:rsidRDefault="00A4286F" w:rsidP="006A07E6">
      <w:pPr>
        <w:pBdr>
          <w:top w:val="nil"/>
          <w:left w:val="nil"/>
          <w:bottom w:val="nil"/>
          <w:right w:val="nil"/>
          <w:between w:val="nil"/>
        </w:pBdr>
        <w:spacing w:line="360" w:lineRule="auto"/>
        <w:rPr>
          <w:color w:val="FF0000"/>
          <w:lang w:val="it-IT"/>
        </w:rPr>
      </w:pPr>
      <w:hyperlink r:id="rId9" w:history="1">
        <w:r w:rsidRPr="00C441C3">
          <w:rPr>
            <w:rStyle w:val="Hyperlink"/>
            <w:lang w:val="it-IT"/>
          </w:rPr>
          <w:t>elisa.cimetta@unipd.it</w:t>
        </w:r>
      </w:hyperlink>
    </w:p>
    <w:p w14:paraId="2A8CF2A9" w14:textId="77777777" w:rsidR="00A4286F" w:rsidRPr="00C441C3" w:rsidRDefault="00A4286F">
      <w:pPr>
        <w:pBdr>
          <w:top w:val="nil"/>
          <w:left w:val="nil"/>
          <w:bottom w:val="nil"/>
          <w:right w:val="nil"/>
          <w:between w:val="nil"/>
        </w:pBdr>
        <w:spacing w:line="360" w:lineRule="auto"/>
        <w:rPr>
          <w:color w:val="000000"/>
          <w:lang w:val="it-IT"/>
        </w:rPr>
      </w:pPr>
      <w:r w:rsidRPr="00C441C3">
        <w:rPr>
          <w:color w:val="000000"/>
          <w:lang w:val="it-IT"/>
        </w:rPr>
        <w:t>A. Reale, A. Rossetto, C. Parolin, A. Calistri</w:t>
      </w:r>
    </w:p>
    <w:p w14:paraId="2AF0198A" w14:textId="351C7AAD" w:rsidR="00A4286F" w:rsidRPr="00E635F2" w:rsidRDefault="00A4286F">
      <w:pPr>
        <w:pBdr>
          <w:top w:val="nil"/>
          <w:left w:val="nil"/>
          <w:bottom w:val="nil"/>
          <w:right w:val="nil"/>
          <w:between w:val="nil"/>
        </w:pBdr>
        <w:spacing w:line="360" w:lineRule="auto"/>
        <w:rPr>
          <w:color w:val="000000"/>
        </w:rPr>
      </w:pPr>
      <w:r w:rsidRPr="00E635F2">
        <w:rPr>
          <w:color w:val="000000"/>
        </w:rPr>
        <w:t xml:space="preserve">Department of Molecular Medicine, University of </w:t>
      </w:r>
      <w:r w:rsidR="00CD16C4" w:rsidRPr="00E635F2">
        <w:rPr>
          <w:color w:val="000000"/>
        </w:rPr>
        <w:t>Pad</w:t>
      </w:r>
      <w:r w:rsidR="00CD16C4">
        <w:rPr>
          <w:color w:val="000000"/>
        </w:rPr>
        <w:t>ua, Italy</w:t>
      </w:r>
    </w:p>
    <w:p w14:paraId="00000009" w14:textId="120ED208" w:rsidR="00C314E0" w:rsidRPr="00C441C3" w:rsidRDefault="00A4286F">
      <w:pPr>
        <w:pBdr>
          <w:top w:val="nil"/>
          <w:left w:val="nil"/>
          <w:bottom w:val="nil"/>
          <w:right w:val="nil"/>
          <w:between w:val="nil"/>
        </w:pBdr>
        <w:spacing w:line="360" w:lineRule="auto"/>
        <w:rPr>
          <w:color w:val="000000"/>
          <w:lang w:val="it-IT"/>
        </w:rPr>
      </w:pPr>
      <w:hyperlink r:id="rId10" w:history="1">
        <w:r w:rsidRPr="00C441C3">
          <w:rPr>
            <w:rStyle w:val="Hyperlink"/>
            <w:lang w:val="it-IT"/>
          </w:rPr>
          <w:t>arianna.calistri@unipd.it</w:t>
        </w:r>
      </w:hyperlink>
    </w:p>
    <w:p w14:paraId="6A809BAB" w14:textId="41668705" w:rsidR="00A4286F" w:rsidRPr="00214816" w:rsidRDefault="00A70217">
      <w:pPr>
        <w:pBdr>
          <w:top w:val="nil"/>
          <w:left w:val="nil"/>
          <w:bottom w:val="nil"/>
          <w:right w:val="nil"/>
          <w:between w:val="nil"/>
        </w:pBdr>
        <w:spacing w:line="360" w:lineRule="auto"/>
        <w:rPr>
          <w:color w:val="000000"/>
          <w:lang w:val="it-IT"/>
        </w:rPr>
      </w:pPr>
      <w:r w:rsidRPr="00214816">
        <w:rPr>
          <w:color w:val="000000"/>
          <w:lang w:val="it-IT"/>
        </w:rPr>
        <w:t>F. Mammano</w:t>
      </w:r>
    </w:p>
    <w:p w14:paraId="279E8426" w14:textId="754ED4CD" w:rsidR="00A70217" w:rsidRPr="00E635F2" w:rsidRDefault="00A70217" w:rsidP="00A70217">
      <w:pPr>
        <w:pBdr>
          <w:top w:val="nil"/>
          <w:left w:val="nil"/>
          <w:bottom w:val="nil"/>
          <w:right w:val="nil"/>
          <w:between w:val="nil"/>
        </w:pBdr>
        <w:spacing w:line="360" w:lineRule="auto"/>
        <w:rPr>
          <w:color w:val="000000"/>
        </w:rPr>
      </w:pPr>
      <w:r w:rsidRPr="00E635F2">
        <w:rPr>
          <w:color w:val="000000"/>
        </w:rPr>
        <w:t>Department of Physics and Astronomy “G. Galilei”, Universi</w:t>
      </w:r>
      <w:r w:rsidR="00241995" w:rsidRPr="00E635F2">
        <w:rPr>
          <w:color w:val="000000"/>
        </w:rPr>
        <w:t>ty of Padua, Padua, Italy and</w:t>
      </w:r>
    </w:p>
    <w:p w14:paraId="44B3A7F7" w14:textId="750A58DB" w:rsidR="00A70217" w:rsidRPr="00E635F2" w:rsidRDefault="00A70217" w:rsidP="00A70217">
      <w:pPr>
        <w:pBdr>
          <w:top w:val="nil"/>
          <w:left w:val="nil"/>
          <w:bottom w:val="nil"/>
          <w:right w:val="nil"/>
          <w:between w:val="nil"/>
        </w:pBdr>
        <w:spacing w:line="360" w:lineRule="auto"/>
        <w:rPr>
          <w:color w:val="000000"/>
        </w:rPr>
      </w:pPr>
      <w:r w:rsidRPr="00E635F2">
        <w:rPr>
          <w:color w:val="000000"/>
        </w:rPr>
        <w:t xml:space="preserve">CNR Institute of Biochemistry and Cell Biology, </w:t>
      </w:r>
      <w:proofErr w:type="spellStart"/>
      <w:r w:rsidRPr="00E635F2">
        <w:rPr>
          <w:color w:val="000000"/>
        </w:rPr>
        <w:t>Monterotondo</w:t>
      </w:r>
      <w:proofErr w:type="spellEnd"/>
      <w:r w:rsidRPr="00E635F2">
        <w:rPr>
          <w:color w:val="000000"/>
        </w:rPr>
        <w:t>, Rome, Italy;</w:t>
      </w:r>
    </w:p>
    <w:p w14:paraId="0994117B" w14:textId="53DF8299" w:rsidR="00A4286F" w:rsidRPr="00E635F2" w:rsidRDefault="00A4286F">
      <w:pPr>
        <w:pBdr>
          <w:top w:val="nil"/>
          <w:left w:val="nil"/>
          <w:bottom w:val="nil"/>
          <w:right w:val="nil"/>
          <w:between w:val="nil"/>
        </w:pBdr>
        <w:spacing w:line="360" w:lineRule="auto"/>
        <w:rPr>
          <w:color w:val="000000"/>
        </w:rPr>
      </w:pPr>
      <w:r w:rsidRPr="00E635F2">
        <w:rPr>
          <w:color w:val="000000"/>
        </w:rPr>
        <w:t xml:space="preserve">#Those Authors </w:t>
      </w:r>
      <w:r w:rsidR="003E7310" w:rsidRPr="00E635F2">
        <w:rPr>
          <w:color w:val="000000"/>
        </w:rPr>
        <w:t>contributed equally</w:t>
      </w:r>
      <w:r w:rsidRPr="00E635F2">
        <w:rPr>
          <w:color w:val="000000"/>
        </w:rPr>
        <w:t xml:space="preserve"> to the work</w:t>
      </w:r>
    </w:p>
    <w:p w14:paraId="0000000A" w14:textId="77777777" w:rsidR="00C314E0" w:rsidRPr="00E635F2" w:rsidRDefault="00C314E0">
      <w:pPr>
        <w:spacing w:line="360" w:lineRule="auto"/>
      </w:pPr>
    </w:p>
    <w:p w14:paraId="7FB2EAF0" w14:textId="39552137" w:rsidR="007467E4" w:rsidRPr="00E635F2" w:rsidRDefault="007467E4">
      <w:pPr>
        <w:spacing w:line="360" w:lineRule="auto"/>
        <w:rPr>
          <w:b/>
          <w:bCs/>
        </w:rPr>
      </w:pPr>
      <w:r w:rsidRPr="00E635F2">
        <w:rPr>
          <w:b/>
          <w:bCs/>
        </w:rPr>
        <w:t>Abstract</w:t>
      </w:r>
    </w:p>
    <w:p w14:paraId="5F2D0031" w14:textId="1E1A8ED4" w:rsidR="002F37C0" w:rsidRPr="00E635F2" w:rsidRDefault="003D595D" w:rsidP="002F37C0">
      <w:pPr>
        <w:spacing w:line="276" w:lineRule="auto"/>
        <w:jc w:val="both"/>
      </w:pPr>
      <w:r w:rsidRPr="00E635F2">
        <w:t xml:space="preserve">Oncolytic viruses </w:t>
      </w:r>
      <w:r w:rsidR="00395BEC" w:rsidRPr="00E635F2">
        <w:t xml:space="preserve">(OVs) </w:t>
      </w:r>
      <w:r w:rsidRPr="00E635F2">
        <w:t xml:space="preserve">that selectively replicate </w:t>
      </w:r>
      <w:r w:rsidR="00395BEC" w:rsidRPr="00E635F2">
        <w:t>within</w:t>
      </w:r>
      <w:r w:rsidRPr="00E635F2">
        <w:t xml:space="preserve"> cancer cells </w:t>
      </w:r>
      <w:r w:rsidR="00395BEC" w:rsidRPr="00E635F2">
        <w:t>represent</w:t>
      </w:r>
      <w:r w:rsidRPr="00E635F2">
        <w:t xml:space="preserve"> a promising therapeutic </w:t>
      </w:r>
      <w:r w:rsidR="00220727" w:rsidRPr="00E635F2">
        <w:t>strategy</w:t>
      </w:r>
      <w:r w:rsidRPr="00E635F2">
        <w:t xml:space="preserve"> for refract</w:t>
      </w:r>
      <w:r w:rsidR="00220727" w:rsidRPr="00E635F2">
        <w:t>ory</w:t>
      </w:r>
      <w:r w:rsidRPr="00E635F2">
        <w:t xml:space="preserve"> or difficult</w:t>
      </w:r>
      <w:r w:rsidR="00AE63BA" w:rsidRPr="00E635F2">
        <w:t>-</w:t>
      </w:r>
      <w:r w:rsidRPr="00E635F2">
        <w:t>to</w:t>
      </w:r>
      <w:r w:rsidR="00AE63BA" w:rsidRPr="00E635F2">
        <w:t>-</w:t>
      </w:r>
      <w:r w:rsidRPr="00E635F2">
        <w:t xml:space="preserve">treat tumors such as Glioblastoma (GBM). </w:t>
      </w:r>
      <w:r w:rsidR="00AE63BA" w:rsidRPr="00E635F2">
        <w:t xml:space="preserve">In this study, we develop and validate </w:t>
      </w:r>
      <w:r w:rsidRPr="00E635F2">
        <w:t xml:space="preserve">a human microfluidic blood brain barrier (BBB) model to </w:t>
      </w:r>
      <w:r w:rsidR="00AE63BA" w:rsidRPr="00E635F2">
        <w:t>evaluate</w:t>
      </w:r>
      <w:r w:rsidRPr="00E635F2">
        <w:t xml:space="preserve"> the potential of cell-based </w:t>
      </w:r>
      <w:r w:rsidR="00AE63BA" w:rsidRPr="00E635F2">
        <w:t>OV</w:t>
      </w:r>
      <w:r w:rsidR="00500BFD" w:rsidRPr="00E635F2">
        <w:t>s</w:t>
      </w:r>
      <w:r w:rsidR="00AE63BA" w:rsidRPr="00E635F2">
        <w:t xml:space="preserve"> delivery </w:t>
      </w:r>
      <w:r w:rsidRPr="00E635F2">
        <w:t xml:space="preserve">targeting the central nervous system. We </w:t>
      </w:r>
      <w:r w:rsidR="00AE63BA" w:rsidRPr="00E635F2">
        <w:t>demonstrate</w:t>
      </w:r>
      <w:r w:rsidRPr="00E635F2">
        <w:t xml:space="preserve"> </w:t>
      </w:r>
      <w:r w:rsidR="006C1A47" w:rsidRPr="00E635F2">
        <w:t xml:space="preserve">that </w:t>
      </w:r>
      <w:r w:rsidRPr="00E635F2">
        <w:t>circulating leukocytes</w:t>
      </w:r>
      <w:r w:rsidR="00500BFD" w:rsidRPr="00E635F2">
        <w:t xml:space="preserve"> (</w:t>
      </w:r>
      <w:r w:rsidRPr="00E635F2">
        <w:t>monocytes</w:t>
      </w:r>
      <w:r w:rsidR="00500BFD" w:rsidRPr="00E635F2">
        <w:t>)</w:t>
      </w:r>
      <w:r w:rsidR="00AE63BA" w:rsidRPr="00E635F2">
        <w:t>,</w:t>
      </w:r>
      <w:r w:rsidRPr="00E635F2">
        <w:t xml:space="preserve"> </w:t>
      </w:r>
      <w:r w:rsidR="00F00425" w:rsidRPr="00E635F2">
        <w:t>serve as effective carrier cells for</w:t>
      </w:r>
      <w:r w:rsidR="001307E1">
        <w:t xml:space="preserve"> the delivery of</w:t>
      </w:r>
      <w:r w:rsidR="00F00425" w:rsidRPr="00E635F2">
        <w:t xml:space="preserve"> a </w:t>
      </w:r>
      <w:proofErr w:type="spellStart"/>
      <w:r w:rsidR="00F00425" w:rsidRPr="00E635F2">
        <w:t>neuroattenuated</w:t>
      </w:r>
      <w:proofErr w:type="spellEnd"/>
      <w:r w:rsidR="00F00425" w:rsidRPr="00E635F2">
        <w:t xml:space="preserve"> strain of oncolytic herpes simplex virus type 1 (oHSV-1) to GBM</w:t>
      </w:r>
      <w:r w:rsidR="006C1A47" w:rsidRPr="00E635F2">
        <w:t>.</w:t>
      </w:r>
      <w:r w:rsidR="00F00425" w:rsidRPr="00E635F2">
        <w:t xml:space="preserve"> </w:t>
      </w:r>
      <w:r w:rsidRPr="00E635F2">
        <w:t>Human monocytes infected with oHSV</w:t>
      </w:r>
      <w:r w:rsidR="00BE26E2" w:rsidRPr="00E635F2">
        <w:t>-</w:t>
      </w:r>
      <w:r w:rsidRPr="00E635F2">
        <w:t>1 and perfused through the device</w:t>
      </w:r>
      <w:r w:rsidR="002F37C0" w:rsidRPr="00E635F2">
        <w:t xml:space="preserve"> successfully traverse the BBB and migrate toward human</w:t>
      </w:r>
      <w:r w:rsidRPr="00E635F2">
        <w:t xml:space="preserve"> GBM spheroids</w:t>
      </w:r>
      <w:r w:rsidR="002F37C0" w:rsidRPr="00E635F2">
        <w:t>,</w:t>
      </w:r>
      <w:r w:rsidRPr="00E635F2">
        <w:t xml:space="preserve"> where they deliver the </w:t>
      </w:r>
      <w:r w:rsidR="002F37C0" w:rsidRPr="00E635F2">
        <w:t>virus and initiate infection</w:t>
      </w:r>
      <w:r w:rsidRPr="00E635F2">
        <w:t xml:space="preserve">. </w:t>
      </w:r>
      <w:r w:rsidR="002F37C0" w:rsidRPr="00E635F2">
        <w:t>Notably, m</w:t>
      </w:r>
      <w:r w:rsidRPr="00E635F2">
        <w:t>onocyte-mediated oHSV</w:t>
      </w:r>
      <w:r w:rsidR="00BE26E2" w:rsidRPr="00E635F2">
        <w:t>-</w:t>
      </w:r>
      <w:r w:rsidRPr="00E635F2">
        <w:t>1</w:t>
      </w:r>
      <w:r w:rsidR="00635E9C" w:rsidRPr="00E635F2">
        <w:t xml:space="preserve"> </w:t>
      </w:r>
      <w:r w:rsidRPr="00E635F2">
        <w:t>delivery do</w:t>
      </w:r>
      <w:r w:rsidR="00635E9C" w:rsidRPr="00E635F2">
        <w:t>es</w:t>
      </w:r>
      <w:r w:rsidRPr="00E635F2">
        <w:t xml:space="preserve"> not result in infection of the BBB and remains effective </w:t>
      </w:r>
      <w:r w:rsidR="002F37C0" w:rsidRPr="00E635F2">
        <w:t>even</w:t>
      </w:r>
      <w:r w:rsidRPr="00E635F2">
        <w:t xml:space="preserve"> in the presence of anti-HSV</w:t>
      </w:r>
      <w:r w:rsidR="00BE26E2" w:rsidRPr="00E635F2">
        <w:t>-</w:t>
      </w:r>
      <w:r w:rsidRPr="00E635F2">
        <w:t>1 antibodies</w:t>
      </w:r>
      <w:r w:rsidR="002F37C0" w:rsidRPr="00E635F2">
        <w:t>, commonly found in the general</w:t>
      </w:r>
      <w:r w:rsidR="007467E4" w:rsidRPr="00E635F2">
        <w:t xml:space="preserve"> </w:t>
      </w:r>
      <w:r w:rsidRPr="00E635F2">
        <w:t xml:space="preserve">population. </w:t>
      </w:r>
      <w:r w:rsidR="002F37C0" w:rsidRPr="00E635F2">
        <w:t>In contrast</w:t>
      </w:r>
      <w:r w:rsidRPr="00E635F2">
        <w:t xml:space="preserve">, </w:t>
      </w:r>
      <w:r w:rsidR="002F37C0" w:rsidRPr="00E635F2">
        <w:t xml:space="preserve">free oHSV-1 virions infect BBB-resident cells </w:t>
      </w:r>
      <w:proofErr w:type="spellStart"/>
      <w:r w:rsidR="002F37C0" w:rsidRPr="00E635F2">
        <w:t>en</w:t>
      </w:r>
      <w:proofErr w:type="spellEnd"/>
      <w:r w:rsidR="002F37C0" w:rsidRPr="00E635F2">
        <w:t xml:space="preserve"> route to the tumor and are neutralized by circulating human immunoglobulins</w:t>
      </w:r>
      <w:r w:rsidR="00246A01" w:rsidRPr="00E635F2">
        <w:t xml:space="preserve">. These findings highlight the potential of monocyte-based oHSV-1 delivery as a targeted, immune-shielded strategy for GBM therapy. </w:t>
      </w:r>
    </w:p>
    <w:p w14:paraId="4CF4383B" w14:textId="77777777" w:rsidR="00D15F9A" w:rsidRPr="00E635F2" w:rsidRDefault="00D15F9A" w:rsidP="002F37C0">
      <w:pPr>
        <w:spacing w:line="276" w:lineRule="auto"/>
        <w:jc w:val="both"/>
      </w:pPr>
    </w:p>
    <w:p w14:paraId="58BF5898" w14:textId="77777777" w:rsidR="00D15F9A" w:rsidRPr="00E635F2" w:rsidRDefault="00D15F9A" w:rsidP="002F37C0">
      <w:pPr>
        <w:spacing w:line="276" w:lineRule="auto"/>
        <w:jc w:val="both"/>
      </w:pPr>
    </w:p>
    <w:p w14:paraId="0000000E" w14:textId="034A994C" w:rsidR="00C314E0" w:rsidRPr="00E635F2" w:rsidRDefault="00000000" w:rsidP="00246A01">
      <w:pPr>
        <w:pBdr>
          <w:top w:val="nil"/>
          <w:left w:val="nil"/>
          <w:bottom w:val="nil"/>
          <w:right w:val="nil"/>
          <w:between w:val="nil"/>
        </w:pBdr>
        <w:spacing w:after="120" w:line="276" w:lineRule="auto"/>
        <w:jc w:val="both"/>
        <w:rPr>
          <w:b/>
          <w:bCs/>
          <w:color w:val="000000"/>
        </w:rPr>
      </w:pPr>
      <w:sdt>
        <w:sdtPr>
          <w:rPr>
            <w:b/>
            <w:bCs/>
          </w:rPr>
          <w:tag w:val="goog_rdk_0"/>
          <w:id w:val="-1637788378"/>
        </w:sdtPr>
        <w:sdtContent/>
      </w:sdt>
      <w:r w:rsidR="003D595D" w:rsidRPr="00E635F2">
        <w:rPr>
          <w:b/>
          <w:bCs/>
          <w:color w:val="000000"/>
        </w:rPr>
        <w:t>1. Introduction</w:t>
      </w:r>
    </w:p>
    <w:p w14:paraId="02FC1931" w14:textId="243046F3" w:rsidR="00C90AB6" w:rsidRPr="00E635F2" w:rsidRDefault="00C90AB6" w:rsidP="00C90AB6">
      <w:pPr>
        <w:spacing w:line="276" w:lineRule="auto"/>
        <w:jc w:val="both"/>
        <w:rPr>
          <w:color w:val="000000"/>
        </w:rPr>
      </w:pPr>
      <w:r w:rsidRPr="00B9394A">
        <w:t xml:space="preserve">The blood–brain barrier (BBB) is a specialized anatomical structure composed of vascular endothelial cells, pericytes, and astrocytes that selectively filters molecules from the bloodstream into the central </w:t>
      </w:r>
      <w:r w:rsidRPr="00B9394A">
        <w:lastRenderedPageBreak/>
        <w:t>nervous system (CN</w:t>
      </w:r>
      <w:r w:rsidRPr="008A55CF">
        <w:t xml:space="preserve"> </w:t>
      </w:r>
      <w:r w:rsidRPr="00B9394A">
        <w:t>S</w:t>
      </w:r>
      <w:r>
        <w:t>).</w:t>
      </w:r>
      <w:r w:rsidRPr="00E635F2">
        <w:fldChar w:fldCharType="begin" w:fldLock="1"/>
      </w:r>
      <w:r w:rsidRPr="00E635F2">
        <w:instrText>ADDIN CSL_CITATION {"citationItems":[{"id":"ITEM-1","itemData":{"DOI":"10.1038/nm.3407","ISSN":"1546-170X (Electronic)","PMID":"24309662","abstract":"The interface between the blood circulation and the neural tissue features unique  characteristics that are encompassed by the term 'blood-brain barrier' (BBB). The main functions of this barrier, namely maintenance of brain homeostasis, regulation of influx and efflux transport, and protection from harm, are determined by its specialized multicellular structure. Every constituent cell type makes an indispensable contribution to the BBB's integrity. But if one member of the BBB fails, and as a result the barrier breaks down, there can be dramatic consequences and neuroinflammation and neurodegeneration can occur. In this Review, we highlight recently gained mechanistic insights into the development and maintenance of the BBB. We then discuss how BBB disruption can cause or contribute to neurological disease. Finally, we examine how this knowledge can be used to explore new possibilities for BBB repair.","author":[{"dropping-particle":"","family":"Obermeier","given":"Birgit","non-dropping-particle":"","parse-names":false,"suffix":""},{"dropping-particle":"","family":"Daneman","given":"Richard","non-dropping-particle":"","parse-names":false,"suffix":""},{"dropping-particle":"","family":"Ransohoff","given":"Richard M","non-dropping-particle":"","parse-names":false,"suffix":""}],"container-title":"Nature medicine","id":"ITEM-1","issue":"12","issued":{"date-parts":[["2013","12"]]},"language":"eng","page":"1584-1596","publisher-place":"United States","title":"Development, maintenance and disruption of the blood-brain barrier.","type":"article-journal","volume":"19"},"uris":["http://www.mendeley.com/documents/?uuid=09a874ce-ab8b-4baf-906e-61b5878f98e6"]}],"mendeley":{"formattedCitation":"&lt;sup&gt;[1]&lt;/sup&gt;","plainTextFormattedCitation":"[1]","previouslyFormattedCitation":"&lt;sup&gt;[1]&lt;/sup&gt;"},"properties":{"noteIndex":0},"schema":"https://github.com/citation-style-language/schema/raw/master/csl-citation.json"}</w:instrText>
      </w:r>
      <w:r w:rsidRPr="00E635F2">
        <w:fldChar w:fldCharType="separate"/>
      </w:r>
      <w:r w:rsidRPr="00E635F2">
        <w:rPr>
          <w:noProof/>
          <w:vertAlign w:val="superscript"/>
        </w:rPr>
        <w:t>[1]</w:t>
      </w:r>
      <w:r w:rsidRPr="00E635F2">
        <w:fldChar w:fldCharType="end"/>
      </w:r>
      <w:r w:rsidRPr="00E635F2">
        <w:t xml:space="preserve"> As such, the BBB </w:t>
      </w:r>
      <w:r w:rsidRPr="00B9394A">
        <w:t>poses a significant challenge for the pharmacological treatment of CNS diseases</w:t>
      </w:r>
      <w:r w:rsidRPr="00E635F2">
        <w:fldChar w:fldCharType="begin" w:fldLock="1"/>
      </w:r>
      <w:r w:rsidRPr="00E635F2">
        <w:instrText>ADDIN CSL_CITATION {"citationItems":[{"id":"ITEM-1","itemData":{"DOI":"https://doi.org/10.1016/j.addr.2019.11.009","ISSN":"0169-409X","abstract":"The blood-brain barrier (BBB) is a dynamic structure that functions as a gatekeeper, reflecting the unique requirements of the brain. In this review, following a brief historical overview of how the concepts of the BBB and the neurovascular unit (NVU) developed, we describe its physiology and architecture, which pose a particular challenge to therapeutic intervention. We then discuss how the restrictive nature of this barrier can</w:instrText>
      </w:r>
      <w:r w:rsidRPr="008A55CF">
        <w:instrText xml:space="preserve"> be overcome for the delivery of therapeutic agents. Alterations to drug formulation offer one option, in part by utilizing distinct transport modes; another is invasive or non-invasive strategies to bypass the BBB. An emerging non-invasive technology for targeted drug delivery is focused ultrasound that allows for the safe and reversible disruption of the BBB. We discuss the underlying mechanisms and provide an outlook, emphasizing the need for more research into the NVU and investment in innovative technologies to overcome the BBB for drug delivery.","author":[{"dropping-particle":"","family":"Pandit","given":"Rucha","non-dropping-particle":"","parse-names":false,"suffix":""},{"dropping-particle":"","family":"Chen","given":"Liyu","non-dropping-particle":"","parse-names":false,"suffix":""},{"dropping-particle":"","family":"Götz","given":"Jürgen","non-dropping-particle":"","parse-names":false,"suffix":""}],"container-title":"Advanced Drug Delivery Reviews","id":"ITEM-1","issued":{"date-parts":[["2020"]]},"page":"1-14","title":"The blood-brain barrier: Physiology and strategies for drug delivery","type":"article-journal","volume":"165-166"},"uris":["http://www.mendeley.com/documents/?uuid=c61e1730-9d99-486e-b6bf-564e5295741b"]}],"mendeley":{"formattedCitation":"&lt;sup&gt;[2]&lt;/sup&gt;","plainTextFormattedCitation":"[2]","previouslyFormattedCitation":"&lt;sup&gt;[2]&lt;/sup&gt;"},"properties":{"noteIndex":0},"schema":"https://github.com/citation-style-language/schema/raw/master/csl-citation.json"}</w:instrText>
      </w:r>
      <w:r w:rsidRPr="00E635F2">
        <w:fldChar w:fldCharType="separate"/>
      </w:r>
      <w:r w:rsidRPr="008A55CF">
        <w:rPr>
          <w:noProof/>
          <w:vertAlign w:val="superscript"/>
        </w:rPr>
        <w:t>[2]</w:t>
      </w:r>
      <w:r w:rsidRPr="00E635F2">
        <w:fldChar w:fldCharType="end"/>
      </w:r>
      <w:r w:rsidRPr="008A55CF">
        <w:t xml:space="preserve"> </w:t>
      </w:r>
      <w:r w:rsidRPr="00E635F2">
        <w:t>such as</w:t>
      </w:r>
      <w:r w:rsidRPr="008A55CF">
        <w:t xml:space="preserve"> glioblastoma (GBM).</w:t>
      </w:r>
      <w:r w:rsidRPr="00E635F2">
        <w:fldChar w:fldCharType="begin" w:fldLock="1"/>
      </w:r>
      <w:r w:rsidRPr="008A55CF">
        <w:instrText>ADDIN CSL_CITATION {"citationItems":[{"id":"ITEM-1","itemData":{"DOI":"10.1007/s11910-024-01338-x","ISSN":"1534-6293","abstract":"Glioblastoma remains resistant to most conventional treatments. Despite scientific advances in the past three decades, there has been a dearth of effective new treatments. New approaches to drug delivery and clinical trial design are needed.","author":[{"dropping-particle":"","family":"Narsinh","given":"Kazim H","non-dropping-particle":"","parse-names":false,"suffix":""},{"dropping-particle":"","family":"Perez","given":"Edgar","non-dropping-particle":"","parse-names":false,"suffix":""},{"dropping-particle":"","family":"Haddad","given":"Alexander F","non-dropping-particle":"","parse-names":false,"suffix":""},{"dropping-particle":"","family":"Young","given":"Jacob S","non-dropping-particle":"","parse-names":false,"suffix":""},{"dropping-particle":"","family":"Savastano","given":"Luis","non-dropping-particle":"","parse-names":false,"suffix":""},{"dropping-particle":"","family":"Villanueva-Meyer","given":"Javier E","non-dropping-particle":"","parse-names":false,"suffix":""},{"dropping-particle":"","family":"Winkler","given":"Ethan","non-dropping-particle":"","parse-names":false,"suffix":""},{"dropping-particle":"","family":"Groot","given":"John","non-dropping-particle":"de","parse-names":false,"suffix":""}],"container-title":"Current Neurology and Neuroscience Reports","id":"ITEM-1","issue":"5","issued":{"date-parts":[["2024"]]},"page":"123-139","title":"Strategies to Improve Drug Delivery Across the Blood–Brain Barrier for Glioblastoma","type":"article-journal","volume":"24"},"uris":["http://www.mendeley.com/documents/?uuid=ad3f2bb6-0204-4872-b664-9a4fd90a4661"]}],"mendeley":{"formattedCitation":"&lt;sup&gt;[3]&lt;/sup&gt;","plainTextFormattedCitation":"[3]","previouslyFormattedCitation":"&lt;sup&gt;[3]&lt;/sup&gt;"},"properties":{"noteIndex":0},"schema":"https://github.com/citation-style-language/schema/raw/master/csl-citation.json"}</w:instrText>
      </w:r>
      <w:r w:rsidRPr="00E635F2">
        <w:fldChar w:fldCharType="separate"/>
      </w:r>
      <w:r w:rsidRPr="008A55CF">
        <w:rPr>
          <w:noProof/>
          <w:vertAlign w:val="superscript"/>
        </w:rPr>
        <w:t>[3]</w:t>
      </w:r>
      <w:r w:rsidRPr="00E635F2">
        <w:fldChar w:fldCharType="end"/>
      </w:r>
      <w:r w:rsidRPr="008A55CF">
        <w:t xml:space="preserve"> </w:t>
      </w:r>
      <w:r w:rsidRPr="008A55CF">
        <w:rPr>
          <w:color w:val="000000"/>
        </w:rPr>
        <w:t xml:space="preserve">GBM is the most common primary brain tumor in adults </w:t>
      </w:r>
      <w:r w:rsidRPr="00E635F2">
        <w:rPr>
          <w:color w:val="000000"/>
        </w:rPr>
        <w:fldChar w:fldCharType="begin" w:fldLock="1"/>
      </w:r>
      <w:r w:rsidRPr="008A55CF">
        <w:rPr>
          <w:color w:val="000000"/>
        </w:rPr>
        <w:instrText>ADDIN CSL_CITATION {"citationItems":[{"id":"ITEM-1","itemData":{"DOI":"10.1016/j.jocn.2018.05.002","ISSN":"1532-2653 (Electronic)","PMID":"29801989","abstract":"Glioblastoma (GBM) is among the most deadly neoplasms associated with one of the  worst 5-year overall survival (OS) rates among all human cancers. The aim of this systematic review is to present all cases with OS of a decade or more and to perform a descriptive analysis of the group. This systematic review was conducted in compliance with the Preferred Reporting Items for Systematic Reviews and Meta-Analyses (PRISMA) guideline. A comprehensive search for relevant articles was performed on PubMed, Embase and Google Scholar for a period until June 10, 2016, using the following search words: glioblastoma multiforme, glioblastoma, GBM, long-term survival/survivors. Reports containing cases with the long-term survival of 10 years or longer were included in the review. The search produced 36 studies with 162 cases published in the years 1950-2014. The rate of long survivors in the cohort studied was established 0.76%. Mean age at diagnosis, OS and PFS were 31.1 ± 11.1, 15.9 ± 6.3, 11.9 ± 5.6 years respectively. Total and subtotal resections were found in 82 and 58 patients respectively. Nine cases received a biopsy alone. No statistical differences were found in a comparison of PFS, OS and age between total and subtotal resection groups. A regressi</w:instrText>
      </w:r>
      <w:r w:rsidRPr="00E635F2">
        <w:rPr>
          <w:color w:val="000000"/>
        </w:rPr>
        <w:instrText>on analysis showed a significant correlation between PFS and OS, with an inverse relationship stated between age at diagnosis and OS. The 10-year survival rate in the cohort studied with GBM was estimated 0.71%. OS was positively correlated with the length of PFS and inversely related with age at diagnosis.","author":[{"dropping-particle":"","family":"Tykocki","given":"Tomasz","non-dropping-particle":"","parse-names":false,"suffix":""},{"dropping-particle":"","family":"Eltayeb","given":"Mohamed","non-dropping-particle":"","parse-names":false,"suffix":""}],"container-title":"Journal of clinical neuroscience : official journal of the Neurosurgical Society  of Australasia","id":"ITEM-1","issued":{"date-parts":[["2018","8"]]},"language":"eng","page":"7-13","publisher-place":"Scotland","title":"Ten-year survival in glioblastoma. A systematic review.","type":"article-journal","volume":"54"},"uris":["http://www.mendeley.com/documents/?uuid=ade978de-91ea-47f3-9c95-5e9e3505b247"]}],"mendeley":{"formattedCitation":"&lt;sup&gt;[4]&lt;/sup&gt;","plainTextFormattedCitation":"[4]","previouslyFormattedCitation":"&lt;sup&gt;[4]&lt;/sup&gt;"},"properties":{"noteIndex":0},"schema":"https://github.com/citation-style-language/schema/raw/master/csl-citation.json"}</w:instrText>
      </w:r>
      <w:r w:rsidRPr="00E635F2">
        <w:rPr>
          <w:color w:val="000000"/>
        </w:rPr>
        <w:fldChar w:fldCharType="separate"/>
      </w:r>
      <w:r w:rsidRPr="00E635F2">
        <w:rPr>
          <w:noProof/>
          <w:color w:val="000000"/>
          <w:vertAlign w:val="superscript"/>
        </w:rPr>
        <w:t>[4]</w:t>
      </w:r>
      <w:r w:rsidRPr="00E635F2">
        <w:rPr>
          <w:color w:val="000000"/>
        </w:rPr>
        <w:fldChar w:fldCharType="end"/>
      </w:r>
      <w:r w:rsidRPr="00E635F2">
        <w:rPr>
          <w:color w:val="000000"/>
        </w:rPr>
        <w:t xml:space="preserve"> and </w:t>
      </w:r>
      <w:r>
        <w:rPr>
          <w:color w:val="000000"/>
        </w:rPr>
        <w:t>carries</w:t>
      </w:r>
      <w:r w:rsidRPr="00E635F2">
        <w:rPr>
          <w:color w:val="000000"/>
        </w:rPr>
        <w:t xml:space="preserve"> a very dismal prognosis.</w:t>
      </w:r>
      <w:r w:rsidRPr="00E635F2">
        <w:rPr>
          <w:color w:val="000000"/>
        </w:rPr>
        <w:fldChar w:fldCharType="begin" w:fldLock="1"/>
      </w:r>
      <w:r w:rsidRPr="00E635F2">
        <w:rPr>
          <w:color w:val="000000"/>
        </w:rPr>
        <w:instrText>ADDIN CSL_CITATION {"citationItems":[{"id":"ITEM-1","itemData":{"DOI":"10.1016/B978-0-12-802997-8.00023-2","ISSN":"0072-9752 (Print)","PMID":"26948367","abstract":"Glioblastoma is the most common and aggressive primary brain tumor in adults.  Defining histopathologic features are necrosis and endothelial proliferation, resulting in the assignment of grade IV, the highest grade in the World Health Organization (WHO) classification of brain tumors. The classic clinical term \"secondary glioblastoma\" refers to a minority of glioblastomas that evolve from previously diagnosed WHO grade II or grade III gliomas. Specific point mutations of the genes encoding isocitrate dehydrogenase (IDH) 1 or 2 appear to define molecularly these tumors that are associated with younger age and more favorable outcome; the vast majority of glioblastomas are IDH wild-type. Typical molecular changes in glioblastoma include mutations in genes regulating receptor tyrosine kinase (RTK)/rat sarcoma (RAS)/phosphoinositide 3-kinase (PI3K), p53, and retinoblastoma protein (RB) signaling. Standard treatment of glioblastoma includes surgery, radiotherapy, and alkylating chemotherapy. Promoter methylation of the gene encoding the DNA repair protein, O(6)-methylguanyl DNA methyltransferase (MGMT), predicts benefit from alkylating chemotherapy with temozolomide and guides choice of first-line treatment in elderly patients. Current developments focus on targeting the molecular characteristics that drive the malignant phenotype, including altered signal transduction and angiogenesis, and more recently, various approaches of immunotherapy.","author":[{"dropping-particle":"","family":"Wirsching","given":"Hans-Georg","non-dropping-particle":"","parse-names":false,"suffix":""},{"dropping-particle":"","family":"Galanis","given":"Evanthia","non-dropping-particle":"","parse-names":false,"suffix":""},{"dropping-particle":"","family":"Weller","given":"Michael","non-dropping-particle":"","parse-names":false,"suffix":""}],"container-title":"Handbook of clinical neurology","id":"ITEM-1","issued":{"date-parts":[["2016"]]},"language":"eng","page":"381-397","publisher-place":"Netherlands","title":"Glioblastoma.","type":"article-journal","volume":"134"},"uris":["http://www.mendeley.com/documents/?uuid=b8d21381-f842-43fa-bd65-6441c9281f28"]}],"mendeley":{"formattedCitation":"&lt;sup&gt;[5]&lt;/sup&gt;","plainTextFormattedCitation":"[5]","previouslyFormattedCitation":"&lt;sup&gt;[5]&lt;/sup&gt;"},"properties":{"noteIndex":0},"schema":"https://github.com/citation-style-language/schema/raw/master/csl-citation.json"}</w:instrText>
      </w:r>
      <w:r w:rsidRPr="00E635F2">
        <w:rPr>
          <w:color w:val="000000"/>
        </w:rPr>
        <w:fldChar w:fldCharType="separate"/>
      </w:r>
      <w:r w:rsidRPr="00E635F2">
        <w:rPr>
          <w:noProof/>
          <w:color w:val="000000"/>
          <w:vertAlign w:val="superscript"/>
        </w:rPr>
        <w:t>[5]</w:t>
      </w:r>
      <w:r w:rsidRPr="00E635F2">
        <w:rPr>
          <w:color w:val="000000"/>
        </w:rPr>
        <w:fldChar w:fldCharType="end"/>
      </w:r>
      <w:r w:rsidRPr="00E635F2">
        <w:rPr>
          <w:color w:val="000000"/>
        </w:rPr>
        <w:t xml:space="preserve"> </w:t>
      </w:r>
      <w:r w:rsidRPr="009F4150">
        <w:rPr>
          <w:color w:val="000000"/>
        </w:rPr>
        <w:t>Despite some progress with chimeric antigen receptor (CAR)-T cell therapies</w:t>
      </w:r>
      <w:r>
        <w:rPr>
          <w:color w:val="000000"/>
        </w:rPr>
        <w:t xml:space="preserve">, </w:t>
      </w:r>
      <w:r w:rsidRPr="009F4150">
        <w:rPr>
          <w:color w:val="000000"/>
        </w:rPr>
        <w:t>immunotherapy remains largely ineffective against GBM</w:t>
      </w:r>
      <w:r>
        <w:rPr>
          <w:color w:val="000000"/>
        </w:rPr>
        <w:t>.</w:t>
      </w:r>
      <w:r w:rsidRPr="00E635F2">
        <w:rPr>
          <w:color w:val="000000"/>
        </w:rPr>
        <w:fldChar w:fldCharType="begin" w:fldLock="1"/>
      </w:r>
      <w:r w:rsidRPr="00E635F2">
        <w:rPr>
          <w:color w:val="000000"/>
        </w:rPr>
        <w:instrText>ADDIN CSL_CITATION {"citationItems":[{"id":"ITEM-1","itemData":{"DOI":"10.1007/s11060-020-03448-1","ISSN":"1573-7373 (Electronic)","PMID":"32253714","abstract":"INTRODUCTION: Glioblastoma is a very aggressive cancer with dismal prognosis  despite standard of care including surgical resection, radiation therapy, and chemotherapy. There is interest in applying immunotherapy to glioblastoma as this modality has demonstrated remarkable improvements in the management of several solid tumors including melanoma, renal cell carcinoma, and non-small cell lung cancer. This review aims to provide an overview of the current state of glioblastoma immunotherapy. METHODS: Literature search was performed on PubMed between 1961 and 2020. RESULTS: Initial clinical trials of checkpoint inhibitors and vaccine therapy for glioblastoma have largely been disappointing for both primary and recurrent glioblastoma. This failure has been attributed to glioblastoma's highly immunosuppressive environment and multiple mechanisms of therapy resistance including high tumor heterogeneity, low mutational burden, systemic immunosuppression, and local immune dysfunction. CONCLUSIONS: Current clinical trials are exploring combination therapy and novel treatment strategies beyond immune checkpoint therapies and vaccine therapy such as CAR T cells. There is also an effort to establish synergy between immunotherapy and current standard of care. Furthermore, recent advances in personalized neoantigen vaccines suggest a shift towards personalized, patient-specific GBM treatment.","author":[{"dropping-particle":"","family":"Medikonda","given":"Ravi","non-dropping-particle":"","parse-names":false,"suffix":""},{"dropping-particle":"","family":"Dunn","given":"Gavin","non-dropping-particle":"","parse-names":false,"suffix":""},{"dropping-particle":"","family":"Rahman","given":"Maryam","non-dropping-particle":"","parse-names":false,"suffix":""},{"dropping-particle":"","family":"Fecci","given":"Peter","non-dropping-particle":"","parse-names":false,"suffix":""},{"dropping-particle":"","family":"Lim","given":"Michael","non-dropping-particle":"","parse-names":false,"suffix":""}],"container-title":"Journal of neuro-oncology","id":"ITEM-1","issue":"1","issued":{"date-parts":[["2021","1"]]},"language":"eng","page":"41-53","publisher-place":"United States","title":"A review of glioblastoma immunotherapy.","type":"article-journal","volume":"151"},"uris":["http://www.mendeley.com/documents/?uuid=db4bf986-144a-4f9b-b893-bc54eaba2508"]}],"mendeley":{"formattedCitation":"&lt;sup&gt;[6]&lt;/sup&gt;","plainTextFormattedCitation":"[6]","previouslyFormattedCitation":"&lt;sup&gt;[6]&lt;/sup&gt;"},"properties":{"noteIndex":0},"schema":"https://github.com/citation-style-language/schema/raw/master/csl-citation.json"}</w:instrText>
      </w:r>
      <w:r w:rsidRPr="00E635F2">
        <w:rPr>
          <w:color w:val="000000"/>
        </w:rPr>
        <w:fldChar w:fldCharType="separate"/>
      </w:r>
      <w:r w:rsidRPr="00E635F2">
        <w:rPr>
          <w:noProof/>
          <w:color w:val="000000"/>
          <w:vertAlign w:val="superscript"/>
        </w:rPr>
        <w:t>[6</w:t>
      </w:r>
      <w:r w:rsidRPr="00E635F2">
        <w:rPr>
          <w:color w:val="000000"/>
        </w:rPr>
        <w:fldChar w:fldCharType="end"/>
      </w:r>
      <w:r w:rsidRPr="00C90AB6">
        <w:rPr>
          <w:color w:val="000000"/>
          <w:vertAlign w:val="superscript"/>
        </w:rPr>
        <w:t>,</w:t>
      </w:r>
      <w:r w:rsidRPr="00E635F2">
        <w:rPr>
          <w:color w:val="000000"/>
        </w:rPr>
        <w:fldChar w:fldCharType="begin" w:fldLock="1"/>
      </w:r>
      <w:r w:rsidRPr="00E635F2">
        <w:rPr>
          <w:color w:val="000000"/>
        </w:rPr>
        <w:instrText>ADDIN CSL_CITATION {"citationItems":[{"id":"ITEM-1","itemData":{"DOI":"10.1093/neuonc/noac024","ISSN":"1522-8517","abstract":"Wide-spread application of chimeric antigen receptor (CAR) T cell therapy for cancer is limited by the current use of autologous CAR T cells necessitating the manufacture of individualized therapeutic products for each patient. To address this challenge, we have generated an off-the-shelf, allogeneic CAR T cell product for the treatment of glioblastoma (GBM), and present here the feasibility, safety, and therapeutic potential of this approach.We generated for clinical use a healthy-donor derived IL13Rα2-targeted CAR+ (IL13-zetakine+) cytolytic T-lymphocyte (CTL) product genetically engineered using zinc finger nucleases (ZFNs) to permanently disrupt the glucocorticoid receptor (GR) (GRm13Z40-2) and endow resistance to glucocorticoid treatment. In a phase I safety and feasibility trial we evaluated these allogeneic GRm13Z40-2 T cells in combination with intracranial administration of recombinant human IL-2 (rhIL-2; aldesleukin) in six patients with unresectable recurrent GBM that were maintained on systemic dexamethasone (4-12 mg/day).The GRm13Z40-2 product displayed dexamethasone-resistant effector activity without evidence for in vitro alloreactivity. Intracranial administration of GRm13Z40-2 in four doses of 108 cells over a two-week period with aldesleukin (9 infusions ranging from 2500–5000 IU) was well tolerated, with indications of transient tumor reduction and/or tumor necrosis at the site of T cell infusion in four of the six treated research subjects. Antibody reactivity against GRm13Z40-2 cells was detected in the serum of only one of the four tested subjects.This first-in-human experience establishes a foundation for future adoptive therapy studies using off-the-shelf, zinc-finger modified, and/or glucocorticoid resistant CAR T cells.","author":[{"dropping-particle":"","family":"Brown","given":"Christine E","non-dropping-particle":"","parse-names":false,"suffix":""},{"dropping-particle":"","family":"Rodriguez","given":"Analiz","non-dropping-particle":"","parse-names":false,"suffix":""},{"dropping-particle":"","family":"Palmer","given":"Joycelynne","non-dropping-particle":"","parse-names":false,"suffix":""},{"dropping-particle":"","family":"Ostberg","given":"Julie R","non-dropping-particle":"","parse-names":false,"suffix":""},{"dropping-particle":"","family":"Naranjo","given":"Araceli","non-dropping-particle":"","parse-names":false,"suffix":""},{"dropping-particle":"","family":"Wagner","given":"Jamie R","non-dropping-particle":"","parse-names":false,"suffix":""},{"dropping-particle":"","family":"Aguilar","given":"Brenda","non-dropping-particle":"","parse-names":false,"suffix":""},{"dropping-particle":"","family":"Starr","given":"Renate","non-dropping-particle":"","parse-names":false,"suffix":""},{"dropping-particle":"","family":"Weng","given":"Lihong","non-dropping-particle":"","parse-names":false,"suffix":""},{"dropping-particle":"","family":"Synold","given":"Timothy W","non-dropping-particle":"","parse-names":false,"suffix":""},{"dropping-particle":"","family":"Tran","given":"Vivi","non-dropping-particle":"","parse-names":false,"suffix":""},{"dropping-particle":"","family":"Wang","given":"Shelley","non-dropping-particle":"","parse-names":false,"suffix":""},{"dropping-particle":"","family":"Reik","given":"Andreas","non-dropping-particle":"","parse-names":false,"suffix":""},{"dropping-particle":"","family":"D’Apuzzo","given":"Massimo","non-dropping-particle":"","parse-names":false,"suffix":""},{"dropping-particle":"","family":"Ressler","given":"Julie A","non-dropping-particle":"","parse-names":false,"suffix":""},{"dropping-particle":"","family":"Zhou","given":"Yuanyue","non-dropping-particle":"","parse-names":false,"suffix":""},{"dropping-particle":"","family":"Mendel","given":"Matthew","non-dropping-particle":"","parse-names":false,"suffix":""},{"dropping-particle":"","family":"Gregory","given":"Philip D","non-dropping-particle":"","parse-names":false,"suffix":""},{"dropping-particle":"","family":"Holmes","given":"Michael C","non-dropping-particle":"","parse-names":false,"suffix":""},{"dropping-particle":"","family":"Tang","given":"Winson W","non-dropping-particle":"","parse-names":false,"suffix":""},{"dropping-particle":"","family":"Forman","given":"Stephen J","non-dropping-particle":"","parse-names":false,"suffix":""},{"dropping-particle":"","family":"Jensen","given":"Michael C","non-dropping-particle":"","parse-names":false,"suffix":""},{"dropping-particle":"","family":"Badie","given":"Behnam","non-dropping-particle":"","parse-names":false,"suffix":""}],"container-title":"Neuro-Oncology","id":"ITEM-1","issue":"8","issued":{"date-parts":[["2022"]]},"page":"1318-1330","title":"Off-the-shelf, steroid-resistant, IL13Rα2-specific CAR T cells for treatment of glioblastoma","type":"article-journal","volume":"24"},"uris":["http://www.mendeley.com/documents/?uuid=07d6f186-3cd0-4b78-b145-e9f4c05e56f6"]}],"mendeley":{"formattedCitation":"&lt;sup&gt;[7]&lt;/sup&gt;","plainTextFormattedCitation":"[7]","previouslyFormattedCitation":"&lt;sup&gt;[7]&lt;/sup&gt;"},"properties":{"noteIndex":0},"schema":"https://github.com/citation-style-language/schema/raw/master/csl-citation.json"}</w:instrText>
      </w:r>
      <w:r w:rsidRPr="00E635F2">
        <w:rPr>
          <w:color w:val="000000"/>
        </w:rPr>
        <w:fldChar w:fldCharType="separate"/>
      </w:r>
      <w:r w:rsidRPr="00E635F2">
        <w:rPr>
          <w:noProof/>
          <w:color w:val="000000"/>
          <w:vertAlign w:val="superscript"/>
        </w:rPr>
        <w:t>7]</w:t>
      </w:r>
      <w:r w:rsidRPr="00E635F2">
        <w:rPr>
          <w:color w:val="000000"/>
        </w:rPr>
        <w:fldChar w:fldCharType="end"/>
      </w:r>
      <w:r>
        <w:rPr>
          <w:color w:val="000000"/>
        </w:rPr>
        <w:t xml:space="preserve"> </w:t>
      </w:r>
      <w:r w:rsidRPr="009F4150">
        <w:rPr>
          <w:color w:val="000000"/>
        </w:rPr>
        <w:t xml:space="preserve">This is due to multiple factors including inactivation by the tumor microenvironment, target antigen heterogeneity, and limited trafficking across the BBB, often necessitating intraventricular </w:t>
      </w:r>
      <w:r>
        <w:rPr>
          <w:color w:val="000000"/>
        </w:rPr>
        <w:t>administration.</w:t>
      </w:r>
      <w:r w:rsidRPr="00E635F2">
        <w:rPr>
          <w:color w:val="000000"/>
        </w:rPr>
        <w:fldChar w:fldCharType="begin" w:fldLock="1"/>
      </w:r>
      <w:r w:rsidRPr="00E635F2">
        <w:rPr>
          <w:color w:val="000000"/>
        </w:rPr>
        <w:instrText>ADDIN CSL_CITATION {"citationItems":[{"id":"ITEM-1","itemData":{"DOI":"10.1126/scitranslmed.aaa0984","ISSN":"1946-6242 (Electronic)","PMID":"28724573","abstract":"We conducted a first-in-human study of intravenous delivery of a single dose of  autologous T cells redirected to the epidermal growth factor receptor variant III (EGFRvIII) mutation by a chimeric antigen receptor (CAR). We report our findings on the first 10 recurrent glioblastoma (GBM) patients treated. We found that manufacturing and infusion of CAR-modified T cell (CART)-EGFRvIII cells are feasible and safe, without evidence of off-tumor toxicity or cytokine release syndrome. One patient has had residual stable disease for over 18 months of follow-up. All patients demonstrated detectable transient expansion of CART-EGFRvIII cells in peripheral blood. Seven patients had post-CART-EGFRvIII surgical intervention, which allowed for tissue-specific analysis of CART-EGFRvIII trafficking to the tumor, phenotyping of tumor-infiltrating T cells and the tumor microenvironment in situ, and analysis of post-therapy EGFRvIII target antigen expression. Imaging findings after CART immunotherapy were complex to interpret, further reinforcing the need for pathologic sampling in infused patients. We found trafficking of CART-EGFRvIII cells to regions of active GBM, with antigen decrease in five of these seven patients. In situ evaluation of the tumor environment demonstrated increased and robust expression of inhibitory molecules and infiltration by regulatory T cells after CART-EGFRvIII infusion, compared to pre-CART-EGFRvIII infusion tumor specimens. Our initial experience with CAR T cells in recurrent GBM suggests that although intravenous infusion results in on-target activity in the brain, overcoming the adaptive changes in the local tumor microenvironment and addressing the antigen heterogeneity may improve the efficacy of EGFRvIII-directed strategies in GBM.","author":[{"dropping-particle":"","family":"O'Rourke","given":"Donald M","non-dropping-particle":"","parse-names":false,"suffix":""},{"dropping-particle":"","family":"Nasrallah","given":"MacLean P","non-dropping-particle":"","parse-names":false,"suffix":""},{"dropping-particle":"","family":"Desai","given":"Arati","non-dropping-particle":"","parse-names":false,"suffix":""},{"dropping-particle":"","family":"Melenhorst","given":"Jan J","non-dropping-particle":"","parse-names":false,"suffix":""},{"dropping-particle":"","family":"Mansfield","given":"Keith","non-dropping-particle":"","parse-names":false,"suffix":""},{"dropping-particle":"","family":"Morrissette","given":"Jennifer J D","non-dropping-particle":"","parse-names":false,"suffix":""},{"dropping-particle":"","family":"Martinez-Lage","given":"Maria","non-dropping-particle":"","parse-names":false,"suffix":""},{"dropping-particle":"","family":"Brem","given":"Steven","non-dropping-particle":"","parse-names":false,"suffix":""},{"dropping-particle":"","family":"Maloney","given":"Eileen","non-dropping-particle":"","parse-names":false,"suffix":""},{"dropping-particle":"","family":"Shen","given":"Angela","non-dropping-particle":"","parse-names":false,"suffix":""},{"dropping-particle":"","family":"Isaacs","given":"Randi","non-dropping-particle":"","parse-names":false,"suffix":""},{"dropping-particle":"","family":"Mohan","given":"Suyash","non-dropping-particle":"","parse-names":false,"suffix":""},{"dropping-particle":"","family":"Plesa","given":"Gabriela","non-dropping-particle":"","parse-names":false,"suffix":""},{"dropping-particle":"","family":"Lacey","given":"Simon F","non-dropping-particle":"","parse-names":false,"suffix":""},{"dropping-particle":"","family":"Navenot","given":"Jean-Marc","non-dropping-particle":"","parse-names":false,"suffix":""},{"dropping-particle":"","family":"Zheng","given":"Zhaohui","non-dropping-particle":"","parse-names":false,"suffix":""},{"dropping-particle":"","family":"Levine","given":"Bruce L","non-dropping-particle":"","parse-names":false,"suffix":""},{"dropping-particle":"","family":"Okada","given":"Hideho","non-dropping-particle":"","parse-names":false,"suffix":""},{"dropping-particle":"","family":"June","given":"Carl H","non-dropping-particle":"","parse-names":false,"suffix":""},{"dropping-particle":"","family":"Brogdon","given":"Jennifer L","non-dropping-particle":"","parse-names":false,"suffix":""},{"dropping-particle":"V","family":"Maus","given":"Marcela","non-dropping-particle":"","parse-names":false,"suffix":""}],"container-title":"Science translational medicine","id":"ITEM-1","issue":"399","issued":{"date-parts":[["2017","7"]]},"language":"eng","publisher-place":"United States","title":"A single dose of peripherally infused EGFRvIII-directed CAR T cells mediates  antigen loss and induces adaptive resistance in patients with recurrent glioblastoma.","type":"article-journal","volume":"9"},"uris":["http://www.mendeley.com/documents/?uuid=4c9d5747-a6c3-4c81-b74e-0be0d73d3c3d"]},{"id":"ITEM-2","itemData":{"DOI":"10.1056/NEJMoa2314390","ISSN":"1533-4406 (Electronic)","PMID":"38477966","abstract":"In this first-in-human, investigator-initiated, open-label study, three  participants with recurrent glioblastoma were treated with CARv3-TEAM-E T cells, which are chimeric antigen receptor (CAR) T cells engineered to target the epidermal growth factor receptor (EGFR) variant III tumor-specific antigen, as well as the wild-type EGFR protein, through secretion of a T-cell-engaging antibody molecule (TEAM). Treatment with CARv3-TEAM-E T cells did not result in adverse events greater than grade 3 or dose-limiting toxic effects. Radiographic tumor regression was dramatic and rapid, occurring within days after receipt of a single intraventricular infusion, but the responses were transient in two of the three participants. (Funded by Gateway for Cancer Research and others; INCIPIENT ClinicalTrials.gov number, NCT05660369.).","author":[{"dropping-particle":"","family":"Choi","given":"Bryan D","non-dropping-particle":"","parse-names":false,"suffix":""},{"dropping-particle":"","family":"Gerstner","given":"Elizabeth R","non-dropping-particle":"","parse-names":false,"suffix":""},{"dropping-particle":"","family":"Frigault","given":"Matthew J","non-dropping-particle":"","parse-names":false,"suffix":""},{"dropping-particle":"","family":"Leick","given":"Mark B","non-dropping-particle":"","parse-names":false,"suffix":""},{"dropping-particle":"","family":"Mount","given":"Christopher W","non-dropping-particle":"","parse-names":false,"suffix":""},{"dropping-particle":"","family":"Balaj","given":"Leonora","non-dropping-particle":"","parse-names":false,"suffix":""},{"dropping-particle":"","family":"Nikiforow","given":"Sarah","non-dropping-particle":"","parse-names":false,"suffix":""},{"dropping-particle":"","family":"Carter","given":"Bob S","non-dropping-particle":"","parse-names":false,"suffix":""},{"dropping-particle":"","family":"Curry","given":"William T","non-dropping-particle":"","parse-names":false,"suffix":""},{"dropping-particle":"","family":"Gallagher","given":"Kathleen","non-dropping-particle":"","parse-names":false,"suffix":""},{"dropping-particle":"V","family":"Maus","given":"Marcela","non-dropping-particle":"","parse-names":false,"suffix":""}],"container-title":"The New England journal of medicine","id":"ITEM-2","issue":"14","issued":{"date-parts":[["2024","4"]]},"language":"eng","page":"1290-1298","publisher-place":"United States","title":"Intraventricular CARv3-TEAM-E T Cells in Recurrent Glioblastoma.","type":"article-journal","volume":"390"},"uris":["http://www.mendeley.com/documents/?uuid=acb20feb-3903-4333-acce-9fac2a16e2b2"]}],"mendeley":{"formattedCitation":"&lt;sup&gt;[8,9]&lt;/sup&gt;","plainTextFormattedCitation":"[8,9]","previouslyFormattedCitation":"&lt;sup&gt;[8,9]&lt;/sup&gt;"},"properties":{"noteIndex":0},"schema":"https://github.com/citation-style-language/schema/raw/master/csl-citation.json"}</w:instrText>
      </w:r>
      <w:r w:rsidRPr="00E635F2">
        <w:rPr>
          <w:color w:val="000000"/>
        </w:rPr>
        <w:fldChar w:fldCharType="separate"/>
      </w:r>
      <w:r w:rsidRPr="00E635F2">
        <w:rPr>
          <w:noProof/>
          <w:color w:val="000000"/>
          <w:vertAlign w:val="superscript"/>
        </w:rPr>
        <w:t>[8,9]</w:t>
      </w:r>
      <w:r w:rsidRPr="00E635F2">
        <w:rPr>
          <w:color w:val="000000"/>
        </w:rPr>
        <w:fldChar w:fldCharType="end"/>
      </w:r>
    </w:p>
    <w:p w14:paraId="1C5F0CA6" w14:textId="3F68A333" w:rsidR="00C90AB6" w:rsidRPr="00E635F2" w:rsidRDefault="00C90AB6" w:rsidP="00C90AB6">
      <w:pPr>
        <w:spacing w:line="276" w:lineRule="auto"/>
        <w:jc w:val="both"/>
        <w:rPr>
          <w:color w:val="000000"/>
        </w:rPr>
      </w:pPr>
      <w:r w:rsidRPr="00E635F2">
        <w:rPr>
          <w:color w:val="000000"/>
        </w:rPr>
        <w:t>Oncolytic viruses (OVs) are naturally</w:t>
      </w:r>
      <w:r>
        <w:rPr>
          <w:color w:val="000000"/>
        </w:rPr>
        <w:t xml:space="preserve"> occurring</w:t>
      </w:r>
      <w:r w:rsidRPr="00E635F2">
        <w:rPr>
          <w:color w:val="000000"/>
        </w:rPr>
        <w:t xml:space="preserve"> or </w:t>
      </w:r>
      <w:r>
        <w:rPr>
          <w:color w:val="000000"/>
        </w:rPr>
        <w:t>engineered</w:t>
      </w:r>
      <w:r w:rsidRPr="00E635F2">
        <w:rPr>
          <w:color w:val="000000"/>
        </w:rPr>
        <w:t xml:space="preserve"> viruses that selectively replicate in cancer cells</w:t>
      </w:r>
      <w:r>
        <w:rPr>
          <w:color w:val="000000"/>
        </w:rPr>
        <w:t xml:space="preserve"> by</w:t>
      </w:r>
      <w:r w:rsidRPr="00E635F2">
        <w:rPr>
          <w:color w:val="000000"/>
        </w:rPr>
        <w:t xml:space="preserve"> exploiting </w:t>
      </w:r>
      <w:r>
        <w:rPr>
          <w:color w:val="000000"/>
        </w:rPr>
        <w:t>deficiencies</w:t>
      </w:r>
      <w:r w:rsidRPr="00E635F2">
        <w:rPr>
          <w:color w:val="000000"/>
        </w:rPr>
        <w:t xml:space="preserve"> in antiviral </w:t>
      </w:r>
      <w:proofErr w:type="spellStart"/>
      <w:r>
        <w:rPr>
          <w:color w:val="000000"/>
        </w:rPr>
        <w:t>defence</w:t>
      </w:r>
      <w:proofErr w:type="spellEnd"/>
      <w:r>
        <w:rPr>
          <w:color w:val="000000"/>
        </w:rPr>
        <w:t xml:space="preserve"> </w:t>
      </w:r>
      <w:r w:rsidRPr="00E635F2">
        <w:rPr>
          <w:color w:val="000000"/>
        </w:rPr>
        <w:t>pathways.</w:t>
      </w:r>
      <w:r w:rsidRPr="00E635F2">
        <w:rPr>
          <w:color w:val="000000"/>
        </w:rPr>
        <w:fldChar w:fldCharType="begin" w:fldLock="1"/>
      </w:r>
      <w:r w:rsidRPr="00E635F2">
        <w:rPr>
          <w:color w:val="000000"/>
        </w:rPr>
        <w:instrText>ADDIN CSL_CITATION {"citationItems":[{"id":"ITEM-1","itemData":{"DOI":"10.1038/nbt.2287","ISSN":"1546-1696 (Electronic)","PMID":"22781695","abstract":"Oncolytic virotherapy is an emerging treatment modality that uses  replication-competent viruses to destroy cancers. Recent advances include preclinical proof of feasibility for a single-shot virotherapy cure, identification of drugs that accelerate intratumoral virus propagation, strategies to maximize the immunotherapeutic action of oncolytic viruses and clinical confirmation of a critical viremic threshold for vascular delivery and intratumoral virus replication. The primary clinical milestone has been completion of accrual in a phase 3 trial of intratumoral herpes simplex virus therapy using talimogene laherparepvec for metastatic melanoma. Key challenges for the field are to select 'winners' from a burgeoning number of oncolytic platforms and engineered derivatives, to transiently suppress but then unleash the power of the immune system to maximize both virus spread and anticancer immunity, to develop more meaningful preclinical virotherapy models and to manufacture viruses with orders-of-magnitude higher yields than is currently possible.","author":[{"dropping-particle":"","family":"Russell","given":"Stephen J","non-dropping-particle":"","parse-names":false,"suffix":""},{"dropping-particle":"","family":"Peng","given":"Kah-Whye","non-dropping-particle":"","parse-names":false,"suffix":""},{"dropping-particle":"","family":"Bell","given":"John C","non-dropping-particle":"","parse-names":false,"suffix":""}],"container-title":"Nature biotechnology","id":"ITEM-1","issue":"7","issued":{"date-parts":[["2012","7"]]},"language":"eng","page":"658-670","publisher-place":"United States","title":"Oncolytic virotherapy.","type":"article-journal","volume":"30"},"uris":["http://www.mendeley.com/documents/?uuid=3af44096-af2c-4c48-8718-d59dc73a48f6"]}],"mendeley":{"formattedCitation":"&lt;sup&gt;[10]&lt;/sup&gt;","plainTextFormattedCitation":"[10]","previouslyFormattedCitation":"&lt;sup&gt;[10]&lt;/sup&gt;"},"properties":{"noteIndex":0},"schema":"https://github.com/citation-style-language/schema/raw/master/csl-citation.json"}</w:instrText>
      </w:r>
      <w:r w:rsidRPr="00E635F2">
        <w:rPr>
          <w:color w:val="000000"/>
        </w:rPr>
        <w:fldChar w:fldCharType="separate"/>
      </w:r>
      <w:r w:rsidRPr="00E635F2">
        <w:rPr>
          <w:noProof/>
          <w:color w:val="000000"/>
          <w:vertAlign w:val="superscript"/>
        </w:rPr>
        <w:t>[10]</w:t>
      </w:r>
      <w:r w:rsidRPr="00E635F2">
        <w:rPr>
          <w:color w:val="000000"/>
        </w:rPr>
        <w:fldChar w:fldCharType="end"/>
      </w:r>
      <w:r>
        <w:rPr>
          <w:color w:val="000000"/>
        </w:rPr>
        <w:t xml:space="preserve"> </w:t>
      </w:r>
      <w:r w:rsidRPr="00A90340">
        <w:rPr>
          <w:color w:val="000000"/>
        </w:rPr>
        <w:t>These agents offer a multifaceted therapeutic approach that includes direct tumor lysis, immune activation, and gene deliver</w:t>
      </w:r>
      <w:r w:rsidRPr="00E635F2">
        <w:rPr>
          <w:color w:val="000000"/>
        </w:rPr>
        <w:t>.</w:t>
      </w:r>
      <w:r w:rsidRPr="00E635F2">
        <w:rPr>
          <w:color w:val="000000"/>
        </w:rPr>
        <w:fldChar w:fldCharType="begin" w:fldLock="1"/>
      </w:r>
      <w:r w:rsidRPr="00E635F2">
        <w:rPr>
          <w:color w:val="000000"/>
        </w:rPr>
        <w:instrText>ADDIN CSL_CITATION {"citationItems":[{"id":"ITEM-1","itemData":{"DOI":"10.1186/s13027-018-0218-1","ISSN":"1750-9378","abstract":"With few exceptions, current chemotherapy and radiotherapy protocols only obtain a slightly prolonged survival with severe adverse effects in patients with advanced solid tumors. In particular, most solid malignancies not amenable to radical surgery still carry a dismal prognosis, which unfortunately is also the case for relapsing disease after surgery. Even though targeted therapies obtained good results, clinical experience showed that tumors eventually develop resistance. On the other hand, earlier attempts of cancer immunotherapy failed to show consistent efficacy. More recently, a deeper knowledge of immunosuppression in the tumor microenvironment (TME) allowed the development of effective drugs: in particular, monoclonal antibodies targeting the so-called immune checkpoint molecules yielded striking and lasting effects in some tumors. Unfortunately, these monoclonal antibodies are not effective in a majority of patients and are ineffective in several solid malignancies. Furthermore, due to their mechanism of action, checkpoint inhibitors often elicit autoimmune-like disease.","author":[{"dropping-particle":"","family":"Reale","given":"Alberto","non-dropping-particle":"","parse-names":false,"suffix":""},{"dropping-particle":"","family":"Vitiello","given":"Adriana","non-dropping-particle":"","parse-names":false,"suffix":""},{"dropping-particle":"","family":"Conciatori","given":"Valeria","non-dropping-particle":"","parse-names":false,"suffix":""},{"dropping-particle":"","family":"Parolin","given":"Cristina","non-dropping-particle":"","parse-names":false,"suffix":""},{"dropping-particle":"","family":"Calistri","given":"Arianna","non-dropping-particle":"","parse-names":false,"suffix":""},{"dropping-particle":"","family":"Palù","given":"Giorgio","non-dropping-particle":"","parse-names":false,"suffix":""}],"container-title":"Infectious Agents and Cancer","id":"ITEM-1","issue":"1","issued":{"date-parts":[["2019"]]},"page":"5","title":"Perspectives on immunotherapy via oncolytic viruses","type":"article-journal","volume":"14"},"uris":["http://www.mendeley.com/documents/?uuid=9700d64c-52f1-436c-b928-8fd411beb18b"]}],"mendeley":{"formattedCitation":"&lt;sup&gt;[11]&lt;/sup&gt;","plainTextFormattedCitation":"[11]","previouslyFormattedCitation":"&lt;sup&gt;[11]&lt;/sup&gt;"},"properties":{"noteIndex":0},"schema":"https://github.com/citation-style-language/schema/raw/master/csl-citation.json"}</w:instrText>
      </w:r>
      <w:r w:rsidRPr="00E635F2">
        <w:rPr>
          <w:color w:val="000000"/>
        </w:rPr>
        <w:fldChar w:fldCharType="separate"/>
      </w:r>
      <w:r w:rsidRPr="00E635F2">
        <w:rPr>
          <w:noProof/>
          <w:color w:val="000000"/>
          <w:vertAlign w:val="superscript"/>
        </w:rPr>
        <w:t>[11]</w:t>
      </w:r>
      <w:r w:rsidRPr="00E635F2">
        <w:rPr>
          <w:color w:val="000000"/>
        </w:rPr>
        <w:fldChar w:fldCharType="end"/>
      </w:r>
      <w:r w:rsidRPr="00E635F2">
        <w:rPr>
          <w:color w:val="000000"/>
          <w:vertAlign w:val="superscript"/>
        </w:rPr>
        <w:t xml:space="preserve"> </w:t>
      </w:r>
      <w:r w:rsidRPr="00A90340">
        <w:rPr>
          <w:color w:val="000000"/>
        </w:rPr>
        <w:t xml:space="preserve">While </w:t>
      </w:r>
      <w:proofErr w:type="spellStart"/>
      <w:r w:rsidRPr="00A90340">
        <w:rPr>
          <w:color w:val="000000"/>
        </w:rPr>
        <w:t>talimogene</w:t>
      </w:r>
      <w:proofErr w:type="spellEnd"/>
      <w:r w:rsidRPr="00A90340">
        <w:rPr>
          <w:color w:val="000000"/>
        </w:rPr>
        <w:t xml:space="preserve"> </w:t>
      </w:r>
      <w:proofErr w:type="spellStart"/>
      <w:r w:rsidRPr="00A90340">
        <w:rPr>
          <w:color w:val="000000"/>
        </w:rPr>
        <w:t>laherparepvec</w:t>
      </w:r>
      <w:proofErr w:type="spellEnd"/>
      <w:r w:rsidRPr="00A90340">
        <w:rPr>
          <w:color w:val="000000"/>
        </w:rPr>
        <w:t xml:space="preserve"> (T-VEC), an oHSV-1-based OV, is approved for melanoma,</w:t>
      </w:r>
      <w:r w:rsidRPr="00E635F2">
        <w:rPr>
          <w:color w:val="000000"/>
        </w:rPr>
        <w:fldChar w:fldCharType="begin" w:fldLock="1"/>
      </w:r>
      <w:r w:rsidRPr="00E635F2">
        <w:rPr>
          <w:color w:val="000000"/>
        </w:rPr>
        <w:instrText>ADDIN CSL_CITATION {"citationItems":[{"id":"ITEM-1","itemData":{"DOI":"10.1080/21645515.2017.1412896","ISSN":"2164-554X (Electronic)","PMID":"29420123","abstract":"Oncolytic viruses represent a novel drug class in which native or modified  viruses mediate tumor regression through selective replication within and lysis of tumor cells as well as induction of systemic antitumor immunity capable of eradicating tumor at distant, uninjected sites. Talimogene laherparepvec (TVEC) is a type I herpes simplex virus genetically modified to preferentially replicate in tumor cells, enhance antigen loading of MHC class I molecules and express granulocyte-macrophage colony-stimulating factor to increase tumor-antigen presentation by dendritic cells. It is presently the only oncolytic virus approved by the FDA with an indication for advanced melanoma based upon improved durable response rate in a randomized, phase III trial. Clinical trials are underway in melanoma investigating TVEC as neoadjuvant monotherapy and in combination with checkpoint inhibitors for unresectable disease as well as in an array of other malignancies. It is appropriate to review TVEC's biology mechanism of action, clinical indication and future directions as a prototype of the burgeoning class of oncolytic viruses.","author":[{"dropping-particle":"","family":"Conry","given":"Robert M","non-dropping-particle":"","parse-names":false,"suffix":""},{"dropping-particle":"","family":"Westbrook","given":"Brian","non-dropping-particle":"","parse-names":false,"suffix":""},{"dropping-particle":"","family":"McKee","given":"Svetlana","non-dropping-particle":"","parse-names":false,"suffix":""},{"dropping-particle":"","family":"Norwood","given":"Timothy Graham","non-dropping-particle":"","parse-names":false,"suffix":""}],"container-title":"Human vaccines &amp; immunotherapeutics","id":"ITEM-1","issue":"4","issued":{"date-parts":[["2018","4"]]},"language":"eng","page":"839-846","publisher-place":"United States","title":"Talimogene laherparepvec: First in class oncolytic virotherapy.","type":"article-journal","volume":"14"},"uris":["http://www.mendeley.com/documents/?uuid=6dac9bb0-d4e6-457e-b9ee-00f40ace1399"]}],"mendeley":{"formattedCitation":"&lt;sup&gt;[12]&lt;/sup&gt;","plainTextFormattedCitation":"[12]","previouslyFormattedCitation":"&lt;sup&gt;[12]&lt;/sup&gt;"},"properties":{"noteIndex":0},"schema":"https://github.com/citation-style-language/schema/raw/master/csl-citation.json"}</w:instrText>
      </w:r>
      <w:r w:rsidRPr="00E635F2">
        <w:rPr>
          <w:color w:val="000000"/>
        </w:rPr>
        <w:fldChar w:fldCharType="separate"/>
      </w:r>
      <w:r w:rsidRPr="00E635F2">
        <w:rPr>
          <w:noProof/>
          <w:color w:val="000000"/>
          <w:vertAlign w:val="superscript"/>
        </w:rPr>
        <w:t>[12]</w:t>
      </w:r>
      <w:r w:rsidRPr="00E635F2">
        <w:rPr>
          <w:color w:val="000000"/>
        </w:rPr>
        <w:fldChar w:fldCharType="end"/>
      </w:r>
      <w:r w:rsidRPr="00E635F2">
        <w:rPr>
          <w:color w:val="000000"/>
          <w:vertAlign w:val="superscript"/>
        </w:rPr>
        <w:t xml:space="preserve"> </w:t>
      </w:r>
      <w:r w:rsidRPr="00E635F2">
        <w:rPr>
          <w:color w:val="000000"/>
        </w:rPr>
        <w:t xml:space="preserve">another oHSV-1 has recently been </w:t>
      </w:r>
      <w:r w:rsidR="002155C9">
        <w:rPr>
          <w:color w:val="000000"/>
        </w:rPr>
        <w:t xml:space="preserve">authorized </w:t>
      </w:r>
      <w:r w:rsidRPr="00E635F2">
        <w:rPr>
          <w:color w:val="000000"/>
        </w:rPr>
        <w:t xml:space="preserve">in Japan for GBM following </w:t>
      </w:r>
      <w:r>
        <w:rPr>
          <w:color w:val="000000"/>
        </w:rPr>
        <w:t>promising</w:t>
      </w:r>
      <w:r w:rsidRPr="00E635F2">
        <w:rPr>
          <w:color w:val="000000"/>
        </w:rPr>
        <w:t xml:space="preserve"> clinical trials.</w:t>
      </w:r>
      <w:r w:rsidRPr="00E635F2">
        <w:rPr>
          <w:color w:val="000000"/>
        </w:rPr>
        <w:fldChar w:fldCharType="begin" w:fldLock="1"/>
      </w:r>
      <w:r w:rsidRPr="00E635F2">
        <w:rPr>
          <w:color w:val="000000"/>
        </w:rPr>
        <w:instrText>ADDIN CSL_CITATION {"citationItems":[{"id":"ITEM-1","itemData":{"DOI":"10.1038/s41591-022-01897-x","ISSN":"1546-170X (Electronic)","PMID":"35864254","abstract":"This investigator-initiated, phase 2, single-arm trial primarily assessed the  efficacy of G47∆, a triple-mutated, third-generation oncolytic herpes simplex virus type 1, in 19 adult patients with residual or recurrent, supratentorial glioblastoma after radiation therapy and temozolomide (UMIN-CTR Clinical Trial Registry UMIN000015995). G47Δ was administered intratumorally and repeatedly for up to six doses. The primary endpoint of 1-yr survival rate after G47∆ initiation was 84.2% (95% confidence interval, 60.4-96.6; 16 of 19). The prespecified endpoint was met and the trial was terminated early. Regarding secondary endpoints, the median overall survival was 20.2 (16.8-23.6) months after G47∆ initiation and 28.8 (20.1-37.5) months from the initial surgery. The most common G47∆-related adverse event was fever (17 of 19) followed by vomiting, nausea, lymphocytopenia and leukopenia. On magnetic resonance imaging, enlargement of and contrast-enhancement clearing within the target lesion repeatedly occurred after each G47∆ administration, which was characteristic to this therapy. Thus, the best overall response in 2 yr was partial response in one patient and stable disease in 18 patients. Biopsies revealed increasing numbers of tumor-infiltrating CD4(+)/CD8(+) lymphocytes and persistent low numbers of Foxp3(+) cells. This study showed a survival benefit and good safety profile, which led to the approval of G47∆ as the first oncolytic virus product in Japan.","author":[{"dropping-particle":"","family":"Todo","given":"Tomoki","non-dropping-particle":"","parse-names":false,"suffix":""},{"dropping-particle":"","family":"Ito","given":"Hirotaka","non-dropping-particle":"","parse-names":false,"suffix":""},{"dropping-particle":"","family":"Ino","given":"Yasushi","non-dropping-particle":"","parse-names":false,"suffix":""},{"dropping-particle":"","family":"Ohtsu","given":"Hiroshi","non-dropping-particle":"","parse-names":false,"suffix":""},{"dropping-particle":"","family":"Ota","given":"Yasunori","non-dropping-particle":"","parse-names":false,"suffix":""},{"dropping-particle":"","family":"Shibahara","given":"Junji","non-dropping-particle":"","parse-names":false,"suffix":""},{"dropping-particle":"","family":"Tanaka","given":"Minoru","non-dropping-particle":"","parse-names":false,"suffix":""}],"container-title":"Nature medicine","id":"ITEM-1","issue":"8","issued":{"date-parts":[["2022","8"]]},"language":"eng","page":"1630-1639","publisher-place":"United States","title":"Intratumoral oncolytic herpes virus G47∆ for residual or recurrent glioblastoma:  a phase 2 trial.","type":"article-journal","volume":"28"},"uris":["http://www.mendeley.com/documents/?uuid=4b19a250-e78c-4223-94c1-86680174de9e"]}],"mendeley":{"formattedCitation":"&lt;sup&gt;[13]&lt;/sup&gt;","plainTextFormattedCitation":"[13]","previouslyFormattedCitation":"&lt;sup&gt;[13]&lt;/sup&gt;"},"properties":{"noteIndex":0},"schema":"https://github.com/citation-style-language/schema/raw/master/csl-citation.json"}</w:instrText>
      </w:r>
      <w:r w:rsidRPr="00E635F2">
        <w:rPr>
          <w:color w:val="000000"/>
        </w:rPr>
        <w:fldChar w:fldCharType="separate"/>
      </w:r>
      <w:r w:rsidRPr="00E635F2">
        <w:rPr>
          <w:noProof/>
          <w:color w:val="000000"/>
          <w:vertAlign w:val="superscript"/>
        </w:rPr>
        <w:t>[13]</w:t>
      </w:r>
      <w:r w:rsidRPr="00E635F2">
        <w:rPr>
          <w:color w:val="000000"/>
        </w:rPr>
        <w:fldChar w:fldCharType="end"/>
      </w:r>
      <w:r>
        <w:rPr>
          <w:color w:val="000000"/>
        </w:rPr>
        <w:t xml:space="preserve"> </w:t>
      </w:r>
      <w:r w:rsidRPr="00451C99">
        <w:rPr>
          <w:color w:val="000000"/>
        </w:rPr>
        <w:t>Effective OV delivery to GBM remains a challenge. Intracranial injection, although effective, is invasive and not easily repeatable. Moreover, GBM's invasive nature and tendency to recur in distant brain areas make localized therapy insufficient. Intravenous administration is hindered by the BBB and by neutralization of circulating virions, particularly in the case of HSV-1, due to widespread pre-existing immunity in the population</w:t>
      </w:r>
      <w:r>
        <w:rPr>
          <w:color w:val="000000"/>
        </w:rPr>
        <w:t>.</w:t>
      </w:r>
      <w:r w:rsidRPr="00E635F2">
        <w:rPr>
          <w:color w:val="000000"/>
        </w:rPr>
        <w:fldChar w:fldCharType="begin" w:fldLock="1"/>
      </w:r>
      <w:r w:rsidRPr="00E635F2">
        <w:rPr>
          <w:color w:val="000000"/>
        </w:rPr>
        <w:instrText>ADDIN CSL_CITATION {"citationItems":[{"id":"ITEM-1","itemData":{"DOI":"10.1016/j.isci.2024.110652","ISSN":"2589-0042 (Electronic)","PMID":"39224512","abstract":"This study aimed to analytically describe the epidemiology of herpes simplex  virus type 1 (HSV-1) infection in the United States through a systematic review and meta-analytics. We reviewed 159 publications, identifying 190 seroprevalence measures and 43 proportions of HSV-1 detection in genital herpes. The pooled mean HSV-1 seroprevalence was 38.0% (95% CI: 30.9-45.4) among general-population children and 63.5% (95% CI: 61.3-65.7) among general-population adults. Age explained 43% of the seroprevalence variation, with rates increasing progressively with age. Seroprevalence declined by 0.99-fold (95% CI: 0.99-0.99) per year. The pooled mean proportion of HSV-1 detection in genital herpes was 15.4% (95% CI: 10.8-20.6), increasing by 1.02-fold (95% CI: 1.00-1.04) per year. Recurrent genital herpes had a 0.17-fold (95% CI: 0.09-0.32) lower proportion of HSV-1 detection compared to first-episode cases. The epidemiology of HSV-1 is shifting, marked by a decline in oral acquisition during childhood and an increase in genital acquisition during adulthood.","author":[{"dropping-particle":"","family":"Ageeb","given":"Rwedah A","non-dropping-particle":"","parse-names":false,"suffix":""},{"dropping-particle":"","family":"Harfouche","given":"Manale","non-dropping-particle":"","parse-names":false,"suffix":""},{"dropping-particle":"","family":"Chemaitelly","given":"Hiam","non-dropping-particle":"","parse-names":false,"suffix":""},{"dropping-particle":"","family":"Abu-Raddad","given":"Laith J","non-dropping-particle":"","parse-names":false,"suffix":""}],"container-title":"iScience","id":"ITEM-1","issue":"9","issued":{"date-parts":[["2024","9"]]},"language":"eng","page":"110652","publisher-place":"United States","title":"Epidemiology of herpes simplex virus type 1 in the United States: Systematic  review, meta-analyses, and meta-regressions.","type":"article-journal","volume":"27"},"uris":["http://www.mendeley.com/documents/?uuid=dc9bc24f-48dc-408d-a430-14bbe40ff142"]}],"mendeley":{"formattedCitation":"&lt;sup&gt;[14]&lt;/sup&gt;","plainTextFormattedCitation":"[14]","previouslyFormattedCitation":"&lt;sup&gt;[14]&lt;/sup&gt;"},"properties":{"noteIndex":0},"schema":"https://github.com/citation-style-language/schema/raw/master/csl-citation.json"}</w:instrText>
      </w:r>
      <w:r w:rsidRPr="00E635F2">
        <w:rPr>
          <w:color w:val="000000"/>
        </w:rPr>
        <w:fldChar w:fldCharType="separate"/>
      </w:r>
      <w:r w:rsidRPr="00E635F2">
        <w:rPr>
          <w:noProof/>
          <w:color w:val="000000"/>
          <w:vertAlign w:val="superscript"/>
        </w:rPr>
        <w:t>[14]</w:t>
      </w:r>
      <w:r w:rsidRPr="00E635F2">
        <w:rPr>
          <w:color w:val="000000"/>
        </w:rPr>
        <w:fldChar w:fldCharType="end"/>
      </w:r>
      <w:r w:rsidRPr="00E635F2">
        <w:rPr>
          <w:color w:val="000000"/>
        </w:rPr>
        <w:t xml:space="preserve"> </w:t>
      </w:r>
      <w:r w:rsidRPr="006F14B3">
        <w:rPr>
          <w:color w:val="000000"/>
        </w:rPr>
        <w:t>Carrier cells provide a potential solution. These include</w:t>
      </w:r>
      <w:r>
        <w:rPr>
          <w:color w:val="000000"/>
        </w:rPr>
        <w:t xml:space="preserve"> </w:t>
      </w:r>
      <w:r w:rsidRPr="00E635F2">
        <w:rPr>
          <w:color w:val="000000"/>
        </w:rPr>
        <w:t>mesenchymal stromal cells (MSCs)</w:t>
      </w:r>
      <w:r w:rsidRPr="00E635F2">
        <w:rPr>
          <w:color w:val="000000"/>
        </w:rPr>
        <w:fldChar w:fldCharType="begin" w:fldLock="1"/>
      </w:r>
      <w:r w:rsidRPr="00E635F2">
        <w:rPr>
          <w:color w:val="000000"/>
        </w:rPr>
        <w:instrText>ADDIN CSL_CITATION {"citationItems":[{"id":"ITEM-1","itemData":{"DOI":"10.1016/j.ejphar.2020.172991","ISSN":"1879-0712 (Electronic)","PMID":"32044323","abstract":"Progress in genetic engineering led to the emergence of some viruses as potent  anticancer therapeutics. These oncolytic viruses combine self-amplification with dual antitumor action: oncolytic (destruction of cancer cells) and immunostimulatory (eliciting acquired antitumor response against cancer epitopes). As any other viruses, they trigger antiviral response upon systemic administration. Mesenchymal stem cells are immature cells capable of self-renewing and differentiating into many cell types that belong to three germinal layers. Due to their inherent tumor tropism mesenchymal stem cells loaded with oncolytic virus can improve delivery of the therapeutic cargo to cancer sites. Shielding of oncolytic viral construct from antiviral host immune response makes these cells prospective delivery vehicles to even hard-to-reach metastatic neoplastic foci. Use of mesenchymal stem cells has been criticized by some investigators as limiting proliferative abilities of primary cells and increasing the risk of malignant transformation, as well as attenuating therapeutic responses. However, majority of preclinical studies indicate safety and efficacy of mesenchymal stem cells used as carriers of oncolytic viruses. In view of contradictory postulates, the debate continues. The review discusses mesenchymal stem cells as carriers for delivery of genetically engineered oncolytic constructs and focuses on systemic approach to oncoviral treatment of some deadly neoplasms.","author":[{"dropping-particle":"","family":"Hadryś","given":"Agata","non-dropping-particle":"","parse-names":false,"suffix":""},{"dropping-particle":"","family":"Sochanik","given":"Aleksander","non-dropping-particle":"","parse-names":false,"suffix":""},{"dropping-particle":"","family":"McFadden","given":"Grant","non-dropping-particle":"","parse-names":false,"suffix":""},{"dropping-particle":"","family":"Jazowiecka-Rakus","given":"Joanna","non-dropping-particle":"","parse-names":false,"suffix":""}],"container-title":"European journal of pharmacology","id":"ITEM-1","issued":{"date-parts":[["2020","5"]]},"language":"eng","page":"172991","publisher-place":"Netherlands","title":"Mesenchymal stem cells as carriers for systemic delivery of oncolytic viruses.","type":"article-journal","volume":"874"},"uris":["http://www.mendeley.com/documents/?uuid=4d477a4f-5820-4570-b6d7-7ecebace4ccb"]}],"mendeley":{"formattedCitation":"&lt;sup&gt;[15]&lt;/sup&gt;","plainTextFormattedCitation":"[15]","previouslyFormattedCitation":"&lt;sup&gt;[15]&lt;/sup&gt;"},"properties":{"noteIndex":0},"schema":"https://github.com/citation-style-language/schema/raw/master/csl-citation.json"}</w:instrText>
      </w:r>
      <w:r w:rsidRPr="00E635F2">
        <w:rPr>
          <w:color w:val="000000"/>
        </w:rPr>
        <w:fldChar w:fldCharType="separate"/>
      </w:r>
      <w:r w:rsidRPr="00E635F2">
        <w:rPr>
          <w:noProof/>
          <w:color w:val="000000"/>
          <w:vertAlign w:val="superscript"/>
        </w:rPr>
        <w:t>[15]</w:t>
      </w:r>
      <w:r w:rsidRPr="00E635F2">
        <w:rPr>
          <w:color w:val="000000"/>
        </w:rPr>
        <w:fldChar w:fldCharType="end"/>
      </w:r>
      <w:r>
        <w:rPr>
          <w:color w:val="000000"/>
        </w:rPr>
        <w:t xml:space="preserve"> </w:t>
      </w:r>
      <w:r w:rsidRPr="006F14B3">
        <w:rPr>
          <w:color w:val="000000"/>
        </w:rPr>
        <w:t>and immune cells such as monocytes, which we previously identified as suitable carriers for oHSV-1</w:t>
      </w:r>
      <w:r w:rsidRPr="00E635F2">
        <w:rPr>
          <w:color w:val="000000"/>
        </w:rPr>
        <w:t>.</w:t>
      </w:r>
      <w:r w:rsidRPr="00E635F2">
        <w:rPr>
          <w:color w:val="000000"/>
        </w:rPr>
        <w:fldChar w:fldCharType="begin" w:fldLock="1"/>
      </w:r>
      <w:r w:rsidRPr="00E635F2">
        <w:rPr>
          <w:color w:val="000000"/>
        </w:rPr>
        <w:instrText>ADDIN CSL_CITATION {"citationItems":[{"id":"ITEM-1","itemData":{"DOI":"10.3390/ijms24119255","ISSN":"1422-0067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sciences","id":"ITEM-1","issue":"11","issued":{"date-parts":[["2023","5"]]},"language":"eng","publisher-place":"Switzerland","title":"Human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lt;/sup&gt;","plainTextFormattedCitation":"[16]","previouslyFormattedCitation":"&lt;sup&gt;[16]&lt;/sup&gt;"},"properties":{"noteIndex":0},"schema":"https://github.com/citation-style-language/schema/raw/master/csl-citation.json"}</w:instrText>
      </w:r>
      <w:r w:rsidRPr="00E635F2">
        <w:rPr>
          <w:color w:val="000000"/>
        </w:rPr>
        <w:fldChar w:fldCharType="separate"/>
      </w:r>
      <w:r w:rsidRPr="00E635F2">
        <w:rPr>
          <w:noProof/>
          <w:color w:val="000000"/>
          <w:vertAlign w:val="superscript"/>
        </w:rPr>
        <w:t>[16]</w:t>
      </w:r>
      <w:r w:rsidRPr="00E635F2">
        <w:rPr>
          <w:color w:val="000000"/>
        </w:rPr>
        <w:fldChar w:fldCharType="end"/>
      </w:r>
      <w:r w:rsidRPr="002071C5">
        <w:t xml:space="preserve"> </w:t>
      </w:r>
      <w:r w:rsidRPr="002071C5">
        <w:rPr>
          <w:color w:val="000000"/>
        </w:rPr>
        <w:t xml:space="preserve">These cells can be loaded </w:t>
      </w:r>
      <w:r w:rsidRPr="00085256">
        <w:rPr>
          <w:i/>
          <w:color w:val="000000"/>
        </w:rPr>
        <w:t>ex vivo</w:t>
      </w:r>
      <w:r w:rsidRPr="002071C5">
        <w:rPr>
          <w:color w:val="000000"/>
        </w:rPr>
        <w:t xml:space="preserve"> with the virus and exploit their innate tumor tropism to facilitate OV delivery while evading immune detection.</w:t>
      </w:r>
    </w:p>
    <w:p w14:paraId="73420744" w14:textId="7EF9CC10" w:rsidR="00C90AB6" w:rsidRPr="00E635F2" w:rsidRDefault="00C90AB6" w:rsidP="00C90AB6">
      <w:pPr>
        <w:spacing w:line="276" w:lineRule="auto"/>
        <w:jc w:val="both"/>
      </w:pPr>
      <w:r w:rsidRPr="002071C5">
        <w:t xml:space="preserve">Replicating the BBB </w:t>
      </w:r>
      <w:r w:rsidRPr="00085256">
        <w:rPr>
          <w:i/>
        </w:rPr>
        <w:t>in vitro</w:t>
      </w:r>
      <w:r w:rsidRPr="002071C5">
        <w:t xml:space="preserve"> poses challenges due to its complex cellular architecture. While </w:t>
      </w:r>
      <w:r w:rsidRPr="00085256">
        <w:rPr>
          <w:i/>
        </w:rPr>
        <w:t>in vivo</w:t>
      </w:r>
      <w:r w:rsidRPr="002071C5">
        <w:t xml:space="preserve"> studies offer physiological insights, they are limited by interspecies differences, ethical constraints, and scalability.</w:t>
      </w:r>
      <w:r w:rsidRPr="00E635F2">
        <w:fldChar w:fldCharType="begin" w:fldLock="1"/>
      </w:r>
      <w:r w:rsidRPr="00E635F2">
        <w:instrText>ADDIN CSL_CITATION {"citationItems":[{"id":"ITEM-1","itemData":{"DOI":"10.1039/D3LC00996C","abstract":"A great progress has been made in the development and use of lab-on-a-chip devices to model and study the blood–brain barrier (BBB) in the last decade. We present the main types of BBB-on-chip models and their use for the investigation of BBB physiology{,} drug and nanoparticle transport{,} toxicology and pathology. The selection of the appropriate cell types to be integrated into BBB-on-chip devices is discussed{,} as this greatly impacts the physiological relevance and translatability of findings. We identify knowledge gaps{,} neglected engineering and cell biological aspects and point out problems and contradictions in the literature of BBB-on-chip models{,} and suggest areas for further studies to progress this highly interdisciplinary field. BBB-on-chip models have an exceptional potential as predictive tools and alternatives of animal experiments in basic and preclinical research. To exploit the full potential of this technique expertise from materials science{,} bioengineering as well as stem cell and vascular/BBB biology is necessary. There is a need for better integration of these diverse disciplines that can only be achieved by setting clear parameters for characterizing both the chip and the BBB model parts technically and functionally.","author":[{"dropping-particle":"","family":"Deli","given":"Mária A","non-dropping-particle":"","parse-names":false,"suffix":""},{"dropping-particle":"","family":"Porkoláb","given":"Gergő","non-dropping-particle":"","parse-names":false,"suffix":""},{"dropping-particle":"","family":"Kincses","given":"András","non-dropping-particle":"","parse-names":false,"suffix":""},{"dropping-particle":"","family":"Mészáros","given":"Mária","non-dropping-particle":"","parse-names":false,"suffix":""},{"dropping-particle":"","family":"Szecskó","given":"Anikó","non-dropping-particle":"","parse-names":false,"suffix":""},{"dropping-particle":"","family":"Kocsis","given":"Anna E","non-dropping-particle":"","parse-names":false,"suffix":""},{"dropping-particle":"","family":"Vigh","given":"Judit P","non-dropping-particle":"","parse-names":false,"suffix":""},{"dropping-particle":"","family":"Valkai","given":"Sándor","non-dropping-particle":"","parse-names":false,"suffix":""},{"dropping-particle":"","family":"Veszelka","given":"Szilvia","non-dropping-particle":"","parse-names":false,"suffix":""},{"dropping-particle":"","family":"Walter","given":"Fruzsina R","non-dropping-particle":"","parse-names":false,"suffix":""},{"dropping-particle":"","family":"Dér","given":"András","non-dropping-particle":"","parse-names":false,"suffix":""}],"container-title":"Lab Chip","id":"ITEM-1","issue":"5","issued":{"date-parts":[["2024"]]},"page":"1030-1063","publisher":"The Royal Society of Chemistry","title":"Lab-on-a-chip models of the blood–brain barrier: evolution, problems, perspectives","type":"article-journal","volume":"24"},"uris":["http://www.mendeley.com/documents/?uuid=65c5bc1d-ad59-4e98-9f82-b37538978aa9"]}],"mendeley":{"formattedCitation":"&lt;sup&gt;[17]&lt;/sup&gt;","plainTextFormattedCitation":"[17]","previouslyFormattedCitation":"&lt;sup&gt;[17]&lt;/sup&gt;"},"properties":{"noteIndex":0},"schema":"https://github.com/citation-style-language/schema/raw/master/csl-citation.json"}</w:instrText>
      </w:r>
      <w:r w:rsidRPr="00E635F2">
        <w:fldChar w:fldCharType="separate"/>
      </w:r>
      <w:r w:rsidRPr="00E635F2">
        <w:rPr>
          <w:noProof/>
          <w:vertAlign w:val="superscript"/>
        </w:rPr>
        <w:t>[17</w:t>
      </w:r>
      <w:r w:rsidRPr="00E635F2">
        <w:fldChar w:fldCharType="end"/>
      </w:r>
      <w:r w:rsidRPr="00C90AB6">
        <w:rPr>
          <w:vertAlign w:val="superscript"/>
        </w:rPr>
        <w:t>,</w:t>
      </w:r>
      <w:r w:rsidRPr="00E635F2">
        <w:fldChar w:fldCharType="begin" w:fldLock="1"/>
      </w:r>
      <w:r w:rsidRPr="00E635F2">
        <w:instrText>ADDIN CSL_CITATION {"citationItems":[{"id":"ITEM-1","itemData":{"DOI":"https://doi.org/10.1016/j.jddst.2023.104174","ISSN":"1773-2247","abstract":"The blood-brain barrier (BBB) is a vital and unique multi-dimensional selective barrier that helps maintain brain homeostasis. BBB is a complex and dynamic structure responsible for regulating the transport of ions and molecules. BBB contains several transporter proteins and tight junctions (TJs) that control the passage of nutrients, while protecting the brain from hazardous toxins and pathogens. Neurological diseases are the primary cause of disability and are considered the second-largest cause of death. BBB dysfunction reduce blood flow and will also permit the entry of toxic substances, and microbial agents in to the brain. This impairment of BBB has been associated with various neurodegenerative diseases. In vitro models that can provide an accurate and deep understanding of neurological disease progression and drug discovery are excellent options.Advancement in microfluidic in vitro models opened new opportunities to study human cell behaviour relative to physiological importance.The limitation of both static transwell and conventional in vitro models was addressed by developing a microfluidic BBB. The microfluidic system showed a close resemblance to the BBB in vivo. The neuronal transport processes and neurogenesis mechanism was well understood with simple neuronal networks. More complex three-dimensional models with multiple cell types, such as Organ on-chip systems, enabled a new platform for a better understanding of the disease and mimicking the physiological conditions. The structure of the blood-brain barrier, conventional models used to model BBB, recent developments in the BBB model using microfluidic technology and the relevance of microfluidic technology in neurological disease modeling is portrayed through this review.","author":[{"dropping-particle":"","family":"Reshma","given":"S","non-dropping-particle":"","parse-names":false,"suffix":""},{"dropping-particle":"","family":"Megha","given":"K B","non-dropping-particle":"","parse-names":false,"suffix":""},{"dropping-particle":"","family":"Amir","given":"S","non-dropping-particle":"","parse-names":false,"suffix":""},{"dropping-particle":"","family":"Rukhiya","given":"S","non-dropping-particle":"","parse-names":false,"suffix":""},{"dropping-particle":"V","family":"Mohanan","given":"P","non-dropping-particle":"","parse-names":false,"suffix":""}],"container-title":"Journal of Drug Delivery Science and Technology","id":"ITEM-1","issued":{"date-parts":[["2023"]]},"page":"104174","title":"Blood brain barrier-on-a-chip to model neurological diseases","type":"article-journal","volume":"80"},"uris":["http://www.mendeley.com/documents/?uuid=5ba05c30-3b20-4e35-9611-556c5001e939"]}],"mendeley":{"formattedCitation":"&lt;sup&gt;[18]&lt;/sup&gt;","plainTextFormattedCitation":"[18]","previouslyFormattedCitation":"&lt;sup&gt;[18]&lt;/sup&gt;"},"properties":{"noteIndex":0},"schema":"https://github.com/citation-style-language/schema/raw/master/csl-citation.json"}</w:instrText>
      </w:r>
      <w:r w:rsidRPr="00E635F2">
        <w:fldChar w:fldCharType="separate"/>
      </w:r>
      <w:r w:rsidRPr="00E635F2">
        <w:rPr>
          <w:noProof/>
          <w:vertAlign w:val="superscript"/>
        </w:rPr>
        <w:t>18]</w:t>
      </w:r>
      <w:r w:rsidRPr="00E635F2">
        <w:fldChar w:fldCharType="end"/>
      </w:r>
      <w:r w:rsidRPr="00E635F2">
        <w:rPr>
          <w:color w:val="000000"/>
        </w:rPr>
        <w:t xml:space="preserve"> </w:t>
      </w:r>
      <w:r w:rsidRPr="002071C5">
        <w:t xml:space="preserve">Traditional static </w:t>
      </w:r>
      <w:r w:rsidRPr="00085256">
        <w:rPr>
          <w:i/>
        </w:rPr>
        <w:t>in vitro</w:t>
      </w:r>
      <w:r w:rsidRPr="002071C5">
        <w:t xml:space="preserve"> models fall short due to lack of shear stress and incomplete cellular interactions.</w:t>
      </w:r>
      <w:r w:rsidRPr="00E635F2">
        <w:fldChar w:fldCharType="begin" w:fldLock="1"/>
      </w:r>
      <w:r w:rsidRPr="00E635F2">
        <w:instrText>ADDIN CSL_CITATION {"citationItems":[{"id":"ITEM-1","itemData":{"DOI":"10.1186/1471-2202-12-40","ISSN":"14712202","PMID":"21569296","abstract":"Background: One of the most important and often neglected physiological stimuli contributing to the differentiation of vascular endothelial cells (ECs) into a blood-brain barrier (BBB) phenotype is shear stress (SS). With the use of a well established humanized dynamic in vitro BBB model and cDNA microarrays, we have profiled the effect of SS in the induction/suppression of ECs genes and related functions.Results: Specifically, we found a significant upregulation of tight and adherens junctions proteins and genes. Trans-endothelial electrical resistance (TEER) and permeability measurements to know substances have shown that SS promoted the formation of a tight and highly selective BBB. SS also increased the RNA level of multidrug resistance transporters, ion channels, and several p450 enzymes. The RNA level of a number of specialized carrier-mediated transport systems (e.g., glucose, monocarboxylic acid, etc.) was also upregulated.RNA levels of modulatory enzymes of the glycolytic pathway (e.g., lactate dehydrogenase) were downregulated by SS while those involved in the Krebs cycle (e.g., lactate and other dehydrogenases) were upregulated. Measurements of glucose consumption versus lactate production showed that SS negatively modulated the glycolytic bioenergetic pathways of glucose metabolism in favor of the more efficient aerobic respiration. BBB ECs are responsive to inflammatory stimuli. Our data showed that SS increased the RNA levels of integrins and vascular adhesion molecules. SS also inhibited endothelial cell cycle via regulation of BTG family proteins encoding genes. This was paralleled by significant increase in the cytoskeletal protein content while that of membrane, cytosol, and nuclear sub-cellular fractions decreased. Furthermore, analysis of 2D gel electrophoresis (which allows identifying a large number of proteins per sample) of EC proteins extracted from membrane sub-cellular endothelial fractions showed that SS increased the expression levels of tight junction proteins. In addition, regulatory enzymes of the Krebb's cycle (aerobic glucose metabolism) were also upregulated. Furthermore, the expression pattern of key protein regulators of the cell cycle and parallel gene array data supported a cell proliferation inhibitory role for SS.Conclusions: Genomic and proteomic analyses are currently used to examine BBB function in healthy and diseased brain and characterize this dynamic interface. In this study we showed that SS plays a key r…","author":[{"dropping-particle":"","family":"Cucullo","given":"Luca","non-dropping-particle":"","parse-names":false,"suffix":""},{"dropping-particle":"","family":"Hossain","given":"Mohammed","non-dropping-particle":"","parse-names":false,"suffix":""},{"dropping-particle":"","family":"Puvenna","given":"Vikram","non-dropping-particle":"","parse-names":false,"suffix":""},{"dropping-particle":"","family":"Marchi","given":"Nicola","non-dropping-particle":"","parse-names":false,"suffix":""},{"dropping-particle":"","family":"Janigro","given":"Damir","non-dropping-particle":"","parse-names":false,"suffix":""}],"container-title":"BMC Neuroscience","id":"ITEM-1","issued":{"date-parts":[["2011"]]},"page":"1-15","title":"The role of shear stress in Blood-Brain Barrier endothelial physiology","type":"article-journal","volume":"12"},"uris":["http://www.mendeley.com/documents/?uuid=2fcfcf0d-29a6-4106-94a5-e26764305be2"]}],"mendeley":{"formattedCitation":"&lt;sup&gt;[19]&lt;/sup&gt;","plainTextFormattedCitation":"[19]","previouslyFormattedCitation":"&lt;sup&gt;[19]&lt;/sup&gt;"},"properties":{"noteIndex":0},"schema":"https://github.com/citation-style-language/schema/raw/master/csl-citation.json"}</w:instrText>
      </w:r>
      <w:r w:rsidRPr="00E635F2">
        <w:fldChar w:fldCharType="separate"/>
      </w:r>
      <w:r w:rsidRPr="00E635F2">
        <w:rPr>
          <w:noProof/>
          <w:vertAlign w:val="superscript"/>
        </w:rPr>
        <w:t>[19</w:t>
      </w:r>
      <w:r w:rsidRPr="00E635F2">
        <w:fldChar w:fldCharType="end"/>
      </w:r>
      <w:r w:rsidRPr="00E635F2">
        <w:fldChar w:fldCharType="begin" w:fldLock="1"/>
      </w:r>
      <w:r w:rsidRPr="00E635F2">
        <w:instrText>ADDIN CSL_CITATION {"citationItems":[{"id":"ITEM-1","itemData":{"DOI":"https://doi.org/10.1016/j.jconrel.2022.01.011","ISSN":"0168-3659","abstract":"Understanding the composition and function of the blood brain barrier (BBB) enables the development of novel, innovative techniques for administering central nervous system (CNS) medications and technologies for improving the existing models. Scientific and methodological interest in the pathology of the BBB resulted in the formation of numerous in vitro BBB models. Once successfully studied and modelled, it would be a valuable tool for elucidating the mechanism of action of the CNS disorders prior to their manifestation and the pathogenic factors. Understanding the rationale behind the selection of the models as well as their working may enable the development of state-of-the-art drugs for treating and managing neurological diseases. Hence, to have realistic simulation of the BBB and test its drug permeability the microfluidics-based BBB-on-Chip model has been developed. To summarise, we aim to evaluate the advanced, newly developed and frequently used in vitro BBB models, thereby providing a brief overview of the components essential for in vitro BBB formation, the methods of chip fabrication and cell culturing, its applications and the recent advances in this technological field. This will be critical for developing CNS treatments with improved BBB penetrability and pharmacokinetic properties.","author":[{"dropping-particle":"","family":"Jagtiani","given":"Ekta","non-dropping-particle":"","parse-names":false,"suffix":""},{"dropping-particle":"","family":"Yeolekar","given":"Mihika","non-dropping-particle":"","parse-names":false,"suffix":""},{"dropping-particle":"","family":"Naik","given":"Shivraj","non-dropping-particle":"","parse-names":false,"suffix":""},{"dropping-particle":"","family":"Patravale","given":"Vandana","non-dropping-particle":"","parse-names":false,"suffix":""}],"container-title":"Journal of Controlled Release","id":"ITEM-1","issued":{"date-parts":[["2022"]]},"page":"13-30","title":"In vitro blood brain barrier models: An overview","type":"article-journal","volume":"343"},"uris":["http://www.mendeley.com/documents/?uuid=4876028e-940b-4f23-999c-caa84cf1c9bd"]}],"mendeley":{"formattedCitation":"&lt;sup&gt;[20]&lt;/sup&gt;","plainTextFormattedCitation":"[20]","previouslyFormattedCitation":"&lt;sup&gt;[20]&lt;/sup&gt;"},"properties":{"noteIndex":0},"schema":"https://github.com/citation-style-language/schema/raw/master/csl-citation.json"}</w:instrText>
      </w:r>
      <w:r w:rsidRPr="00E635F2">
        <w:fldChar w:fldCharType="separate"/>
      </w:r>
      <w:r>
        <w:rPr>
          <w:noProof/>
          <w:vertAlign w:val="superscript"/>
        </w:rPr>
        <w:t>,</w:t>
      </w:r>
      <w:r w:rsidRPr="00E635F2">
        <w:rPr>
          <w:noProof/>
          <w:vertAlign w:val="superscript"/>
        </w:rPr>
        <w:t>20]</w:t>
      </w:r>
      <w:r w:rsidRPr="00E635F2">
        <w:fldChar w:fldCharType="end"/>
      </w:r>
      <w:r w:rsidR="001C73FF">
        <w:t xml:space="preserve"> </w:t>
      </w:r>
      <w:r w:rsidRPr="00E635F2">
        <w:t xml:space="preserve">Researchers developed BBB-on-chip systems, which are microfluidic platforms designed in attempt to replicate physiological and functional aspects of the BBB </w:t>
      </w:r>
      <w:r w:rsidRPr="00E635F2">
        <w:rPr>
          <w:i/>
          <w:iCs/>
        </w:rPr>
        <w:t>in vitro</w:t>
      </w:r>
      <w:r w:rsidRPr="00E635F2">
        <w:t>.</w:t>
      </w:r>
      <w:r w:rsidRPr="00E635F2">
        <w:rPr>
          <w:vertAlign w:val="superscript"/>
        </w:rPr>
        <w:t xml:space="preserve"> </w:t>
      </w:r>
      <w:r w:rsidRPr="00E635F2">
        <w:rPr>
          <w:vertAlign w:val="superscript"/>
        </w:rPr>
        <w:fldChar w:fldCharType="begin" w:fldLock="1"/>
      </w:r>
      <w:r w:rsidRPr="00E635F2">
        <w:rPr>
          <w:vertAlign w:val="superscript"/>
        </w:rPr>
        <w:instrText>ADDIN CSL_CITATION {"citationItems":[{"id":"ITEM-1","itemData":{"DOI":"10.3390/biom11060916","ISSN":"2218-273X","abstract":"Lab-on-a-chip (LOC) and organ-on-a-chip (OOC) devices are highly versatile platforms that enable miniaturization and advanced controlled laboratory functions (i.e., microfluidics, advanced optical or electrical recordings, high-throughput screening). The manufacturing advancements of LOCs/OOCs for biomedical applications and their current limitations are briefly discussed. Multiple studies have exploited the advantages of mimicking organs or tissues on a chip. Among these, we focused our attention on the brain-on-a-chip, blood–brain barrier (BBB)-on-a-chip, and neurovascular unit (NVU)-on-a-chip applications. Mainly, we review the latest developments of brain-on-a-chip, BBB-on-a-chip, and NVU-on-a-chip devices and their use as testing platforms for high-throughput pharmacological screening. In particular, we analyze the most important contributions of these studies in the field of neurodegenerative diseases and their relevance in translational personalized medicine.","author":[{"dropping-particle":"","family":"Staicu","given":"Cristina Elena","non-dropping-particle":"","parse-names":false,"suffix":""},{"dropping-particle":"","family":"Jipa","given":"Florin","non-dropping-particle":"","parse-names":false,"suffix":""},{"dropping-particle":"","family":"Axente","given":"Emanuel","non-dropping-particle":"","parse-names":false,"suffix":""},{"dropping-particle":"","family":"Radu","given":"Mihai","non-dropping-particle":"","parse-names":false,"suffix":""},{"dropping-particle":"","family":"Radu","given":"Beatrice Mihaela","non-dropping-particle":"","parse-names":false,"suffix":""},{"dropping-particle":"","family":"Sima","given":"Felix","non-dropping-particle":"","parse-names":false,"suffix":""}],"container-title":"Biomolecules","id":"ITEM-1","issue":"6","issued":{"date-parts":[["2021"]]},"title":"Lab-on-a-Chip Platforms as Tools for Drug Screening in Neuropathologies Associated with Blood–Brain Barrier Alterations","type":"article-journal","volume":"11"},"uris":["http://www.mendeley.com/documents/?uuid=14a3bff2-d8bb-4b2e-85de-4b9ebc1ed6ac"]}],"mendeley":{"formattedCitation":"&lt;sup&gt;[21]&lt;/sup&gt;","plainTextFormattedCitation":"[21]","previouslyFormattedCitation":"&lt;sup&gt;[21]&lt;/sup&gt;"},"properties":{"noteIndex":0},"schema":"https://github.com/citation-style-language/schema/raw/master/csl-citation.json"}</w:instrText>
      </w:r>
      <w:r w:rsidRPr="00E635F2">
        <w:rPr>
          <w:vertAlign w:val="superscript"/>
        </w:rPr>
        <w:fldChar w:fldCharType="separate"/>
      </w:r>
      <w:r w:rsidRPr="00E635F2">
        <w:rPr>
          <w:noProof/>
          <w:vertAlign w:val="superscript"/>
        </w:rPr>
        <w:t>[21]</w:t>
      </w:r>
      <w:r w:rsidRPr="00E635F2">
        <w:rPr>
          <w:vertAlign w:val="superscript"/>
        </w:rPr>
        <w:fldChar w:fldCharType="end"/>
      </w:r>
      <w:r w:rsidRPr="00E635F2">
        <w:t xml:space="preserve"> Microfluidic BBB devices offer numerous advantages for </w:t>
      </w:r>
      <w:r w:rsidRPr="00E635F2">
        <w:rPr>
          <w:i/>
          <w:iCs/>
        </w:rPr>
        <w:t>in vitro</w:t>
      </w:r>
      <w:r w:rsidRPr="00E635F2">
        <w:t xml:space="preserve"> modeling, making them an ideal alternative to traditional systems.</w:t>
      </w:r>
      <w:r w:rsidRPr="00E635F2">
        <w:fldChar w:fldCharType="begin" w:fldLock="1"/>
      </w:r>
      <w:r w:rsidRPr="00E635F2">
        <w:instrText>ADDIN CSL_CITATION {"citationItems":[{"id":"ITEM-1","itemData":{"DOI":"10.1039/D3LC00996C","abstract":"A great progress has been made in the development and use of lab-on-a-chip devices to model and study the blood–brain barrier (BBB) in the last decade. We present the main types of BBB-on-chip models and their use for the investigation of BBB physiology{,} drug and nanoparticle transport{,} toxicology and pathology. The selection of the appropriate cell types to be integrated into BBB-on-chip devices is discussed{,} as this greatly impacts the physiological relevance and translatability of findings. We identify knowledge gaps{,} neglected engineering and cell biological aspects and point out problems and contradictions in the literature of BBB-on-chip models{,} and suggest areas for further studies to progress this highly interdisciplinary field. BBB-on-chip models have an exceptional potential as predictive tools and alternatives of animal experiments in basic and preclinical research. To exploit the full potential of this technique expertise from materials science{,} bioengineering as well as stem cell and vascular/BBB biology is necessary. There is a need for better integration of these diverse disciplines that can only be achieved by setting clear parameters for characterizing both the chip and the BBB model parts technically and functionally.","author":[{"dropping-particle":"","family":"Deli","given":"Mária A","non-dropping-particle":"","parse-names":false,"suffix":""},{"dropping-particle":"","family":"Porkoláb","given":"Gergő","non-dropping-particle":"","parse-names":false,"suffix":""},{"dropping-particle":"","family":"Kincses","given":"András","non-dropping-particle":"","parse-names":false,"suffix":""},{"dropping-particle":"","family":"Mészáros","given":"Mária","non-dropping-particle":"","parse-names":false,"suffix":""},{"dropping-particle":"","family":"Szecskó","given":"Anikó","non-dropping-particle":"","parse-names":false,"suffix":""},{"dropping-particle":"","family":"Kocsis","given":"Anna E","non-dropping-particle":"","parse-names":false,"suffix":""},{"dropping-particle":"","family":"Vigh","given":"Judit P","non-dropping-particle":"","parse-names":false,"suffix":""},{"dropping-particle":"","family":"Valkai","given":"Sándor","non-dropping-particle":"","parse-names":false,"suffix":""},{"dropping-particle":"","family":"Veszelka","given":"Szilvia","non-dropping-particle":"","parse-names":false,"suffix":""},{"dropping-particle":"","family":"Walter","given":"Fruzsina R","non-dropping-particle":"","parse-names":false,"suffix":""},{"dropping-particle":"","family":"Dér","given":"András","non-dropping-particle":"","parse-names":false,"suffix":""}],"container-title":"Lab Chip","id":"ITEM-1","issue":"5","issued":{"date-parts":[["2024"]]},"page":"1030-1063","publisher":"The Royal Society of Chemistry","title":"Lab-on-a-chip models of the blood–brain barrier: evolution, problems, perspectives","type":"article-journal","volume":"24"},"uris":["http://www.mendeley.com/documents/?uuid=65c5bc1d-ad59-4e98-9f82-b37538978aa9"]}],"mendeley":{"formattedCitation":"&lt;sup&gt;[17]&lt;/sup&gt;","plainTextFormattedCitation":"[17]","previouslyFormattedCitation":"&lt;sup&gt;[17]&lt;/sup&gt;"},"properties":{"noteIndex":0},"schema":"https://github.com/citation-style-language/schema/raw/master/csl-citation.json"}</w:instrText>
      </w:r>
      <w:r w:rsidRPr="00E635F2">
        <w:fldChar w:fldCharType="separate"/>
      </w:r>
      <w:r w:rsidRPr="00E635F2">
        <w:rPr>
          <w:noProof/>
          <w:vertAlign w:val="superscript"/>
        </w:rPr>
        <w:t>[17]</w:t>
      </w:r>
      <w:r w:rsidRPr="00E635F2">
        <w:fldChar w:fldCharType="end"/>
      </w:r>
      <w:r w:rsidRPr="00E635F2">
        <w:rPr>
          <w:vertAlign w:val="superscript"/>
        </w:rPr>
        <w:t xml:space="preserve"> </w:t>
      </w:r>
      <w:r w:rsidRPr="00E635F2">
        <w:t xml:space="preserve"> They are cost-effective to fabricate and provide flexibility in design, allowing to tailor the setup to specific experimental needs. These devices require fewer cells, increase efficiency and reduce materials consumption.</w:t>
      </w:r>
      <w:r w:rsidRPr="00E635F2">
        <w:fldChar w:fldCharType="begin" w:fldLock="1"/>
      </w:r>
      <w:r w:rsidRPr="00E635F2">
        <w:instrText>ADDIN CSL_CITATION {"citationItems":[{"id":"ITEM-1","itemData":{"DOI":"https://doi.org/10.1016/j.arr.2023.101921","ISSN":"1568-1637","abstract":"The complex structure of the blood-brain barrier (BBB) hinders its modeling and the treatment of brain diseases. The microfluidic technology promotes the development of BBB-on-a-chip platforms, which can be used to reproduce the complex brain microenvironment and physiological reactions. Compared with traditional transwell technology, microfluidic BBB-on-a-chip shows great technical advantages in terms of flexible control of fluid shear stress in the chip and fabrication efficiency of the chip system, which can be enhanced by the development of lithography and three-dimensional (3D) printing. It is convenient to accurately monitor the dynamic changes of biochemical parameters of individual cells in the model by integrating an automatic super-resolution imaging sensing platform. In addition, biomaterials, especially hydrogels and conductive polymers, solve the limitations of microfluidic BBB-on-a-chip by compounding onto microfluidic chip to provide a 3D space and special performance on the microfluidic chip. The microfluidic BBB-on-a-chip promotes the development of basic research, including cell migration, mechanism exploration of neurodegenerative diseases, drug barrier permeability, SARS-CoV-2 pathology. This study summarizes the recent advances, challenges and future prospects of microfluidic BBB-on-a-chip, which can help to promote the development of personalized medicine and drug discovery.","author":[{"dropping-particle":"","family":"Bi","given":"Wangyu","non-dropping-particle":"","parse-names":false,"suffix":""},{"dropping-particle":"","family":"Cai","given":"Shanglin","non-dropping-particle":"","parse-names":false,"suffix":""},{"dropping-particle":"","family":"Lei","given":"Tong","non-dropping-particle":"","parse-names":false,"suffix":""},{"dropping-particle":"","family":"Wang","given":"Lei","non-dropping-particle":"","parse-names":false,"suffix":""}],"container-title":"Ageing Research Reviews","id":"ITEM-1","issued":{"date-parts":[["2023"]]},"page":"101921","title":"Implementation of blood-brain barrier on microfluidic chip: Recent advance and future prospects","type":"article-journal","volume":"87"},"uris":["http://www.mendeley.com/documents/?uuid=0309da12-7048-4310-a4d3-631f6abdae40"]}],"mendeley":{"formattedCitation":"&lt;sup&gt;[22]&lt;/sup&gt;","plainTextFormattedCitation":"[22]","previouslyFormattedCitation":"&lt;sup&gt;[22]&lt;/sup&gt;"},"properties":{"noteIndex":0},"schema":"https://github.com/citation-style-language/schema/raw/master/csl-citation.json"}</w:instrText>
      </w:r>
      <w:r w:rsidRPr="00E635F2">
        <w:fldChar w:fldCharType="separate"/>
      </w:r>
      <w:r w:rsidRPr="00E635F2">
        <w:rPr>
          <w:noProof/>
          <w:vertAlign w:val="superscript"/>
        </w:rPr>
        <w:t>[22]</w:t>
      </w:r>
      <w:r w:rsidRPr="00E635F2">
        <w:fldChar w:fldCharType="end"/>
      </w:r>
      <w:r w:rsidRPr="00E635F2">
        <w:rPr>
          <w:vertAlign w:val="superscript"/>
        </w:rPr>
        <w:t xml:space="preserve"> </w:t>
      </w:r>
      <w:r w:rsidRPr="00E635F2">
        <w:t xml:space="preserve">By offering precise control over the microenvironment, microfluidic systems can more closely replicate the actual </w:t>
      </w:r>
      <w:r w:rsidRPr="00E635F2">
        <w:rPr>
          <w:i/>
          <w:iCs/>
        </w:rPr>
        <w:t>in vivo</w:t>
      </w:r>
      <w:r w:rsidRPr="00E635F2">
        <w:t xml:space="preserve"> brain anatomy, including critical factors such as shear stress.</w:t>
      </w:r>
      <w:r w:rsidRPr="00E635F2">
        <w:fldChar w:fldCharType="begin" w:fldLock="1"/>
      </w:r>
      <w:r w:rsidRPr="00E635F2">
        <w:instrText>ADDIN CSL_CITATION {"citationItems":[{"id":"ITEM-1","itemData":{"DOI":"10.1007/s10544-012-9699-7","ISSN":"1572-8781 (Electronic)","PMID":"22955726","abstract":"The blood-brain barrier (BBB) is a unique feature of the human body, preserving  brain homeostasis and preventing toxic substances to enter the brain. However, in various neurodegenerative diseases, the function of the BBB is disturbed. Mechanisms of the breakdown of the BBB are incompletely understood and therefore a realistic model of the BBB is essential. We present here the smallest model of the BBB yet, using a microfluidic chip, and the immortalized human brain endothelial cell line hCMEC/D3. Barrier function is modulated both mechanically, by exposure to fluid shear stress, and biochemically, by stimulation with tumor necrosis factor alpha (TNF-α), in one single device. The device has integrated electrodes to analyze barrier tightness by measuring the transendothelial electrical resistance (TEER). We demonstrate that hCMEC/D3 cells could be cultured in the microfluidic device up to 7 days, and that these cultures showed comparable TEER values with the well-established Transwell assay, with an average (± SEM) of 36.9 Ω.cm(2) (± 0.9 Ω.cm(2)) and 28.2 Ω.cm(2) (± 1.3 Ω.cm(2)) respectively. Moreover, hCMEC/D3 cells on chip expressed the tight junction protein Zonula Occludens-1 (ZO-1) at day 4. Furthermore, shear stress positively influenced barrier tightness and increased TEER values with a factor 3, up to 120 Ω.cm(2). Subsequent addition of TNF-α decreased the TEER with a factor of 10, down to 12 Ω.cm(2). This realistic microfluidic platform of the BBB is very well suited to study barrier function in detail and evaluate drug passage to finally gain more insight into the treatment of neurodegenerative diseases.","author":[{"dropping-particle":"","family":"Griep","given":"L M","non-dropping-particle":"","parse-names":false,"suffix":""},{"dropping-particle":"","family":"Wolbers","given":"F","non-dropping-particle":"","parse-names":false,"suffix":""},{"dropping-particle":"","family":"Wagenaar","given":"B","non-dropping-particle":"de","parse-names":false,"suffix":""},{"dropping-particle":"","family":"Braak","given":"P M","non-dropping-particle":"ter","parse-names":false,"suffix":""},{"dropping-particle":"","family":"Weksler","given":"B B","non-dropping-particle":"","parse-names":false,"suffix":""},{"dropping-particle":"","family":"Romero","given":"I A","non-dropping-particle":"","parse-names":false,"suffix":""},{"dropping-particle":"","family":"Couraud","given":"P O","non-dropping-particle":"","parse-names":false,"suffix":""},{"dropping-particle":"","family":"Vermes","given":"I","non-dropping-particle":"","parse-names":false,"suffix":""},{"dropping-particle":"","family":"Meer","given":"A D","non-dropping-particle":"van der","parse-names":false,"suffix":""},{"dropping-particle":"","family":"Berg","given":"A","non-dropping-particle":"van den","parse-names":false,"suffix":""}],"container-title":"Biomedical microdevices","id":"ITEM-1","issue":"1","issued":{"date-parts":[["2013","2"]]},"language":"eng","page":"145-150","publisher-place":"United States","title":"BBB on chip: microfluidic platform to mechanically and biochemically modulate  blood-brain barrier function.","type":"article-journal","volume":"15"},"uris":["http://www.mendeley.com/documents/?uuid=12c066d5-f88e-4bac-b4e5-d8a7b7c58135"]}],"mendeley":{"formattedCitation":"&lt;sup&gt;[23]&lt;/sup&gt;","plainTextFormattedCitation":"[23]","previouslyFormattedCitation":"&lt;sup&gt;[23]&lt;/sup&gt;"},"properties":{"noteIndex":0},"schema":"https://github.com/citation-style-language/schema/raw/master/csl-citation.json"}</w:instrText>
      </w:r>
      <w:r w:rsidRPr="00E635F2">
        <w:fldChar w:fldCharType="separate"/>
      </w:r>
      <w:r w:rsidRPr="00E635F2">
        <w:rPr>
          <w:noProof/>
          <w:vertAlign w:val="superscript"/>
        </w:rPr>
        <w:t>[23]</w:t>
      </w:r>
      <w:r w:rsidRPr="00E635F2">
        <w:fldChar w:fldCharType="end"/>
      </w:r>
      <w:r w:rsidRPr="00E635F2">
        <w:t xml:space="preserve"> The ability to measure relevant parameters such as BBB permeability in real time, enhances both the speed and accuracy of data collection, while improving paracellular barrier functions. Additionally, the transparent nature of the devices allows for easy cell inspection via microscopy. With the possibility of integrating co-culture models, these microfluidic devices offer a more realistic simulation of the cellular interactions that occur within the brain, further advancing the physiological relevance of BBB modeling.</w:t>
      </w:r>
      <w:r w:rsidRPr="00E635F2">
        <w:fldChar w:fldCharType="begin" w:fldLock="1"/>
      </w:r>
      <w:r w:rsidRPr="00E635F2">
        <w:instrText>ADDIN CSL_CITATION {"citationItems":[{"id":"ITEM-1","itemData":{"DOI":"https://doi.org/10.1016/j.drudis.2016.05.020","ISSN":"1359-6446","abstract":"In vitro blood–brain barrier (BBB) models are indispensable screening tools for obtaining early information about the brain-penetrating behaviour of promising drug candidates. Until now, in vitro BBB models have focused on investigating the interplay among cellular components of neurovascular units and the effect of fluidic sheer stress in sustaining normal BBB phenotype and functions. However, an area that has received less recognition is the role of the noncellular basement membrane (BM) in modulating BBB physiology. This review describes the state-of-the-art on in vitro BBB models relevant in drug discovery research and highlights their strengths, weaknesses and the utility potential of some of these models in testing the permeability of nanocarriers as vectors for delivering therapeutics to the brain. Importantly, our review also introduces a new concept of engineering artificial BM platforms for reconstituting BBB models in vitro.","author":[{"dropping-particle":"","family":"Banerjee","given":"Jayati","non-dropping-particle":"","parse-names":false,"suffix":""},{"dropping-particle":"","family":"Shi","given":"Yejiao","non-dropping-particle":"","parse-names":false,"suffix":""},{"dropping-particle":"","family":"Azevedo","given":"Helena S","non-dropping-particle":"","parse-names":false,"suffix":""}],"container-title":"Drug Discovery Today","id":"ITEM-1","issue":"9","issued":{"date-parts":[["2016"]]},"note":"Pathophysiology models for drug discovery","page":"1367-1386","title":"In vitro blood–brain barrier models for drug research: state-of-the-art and new perspectives on reconstituting these models on artificial basement membrane platforms","type":"article-journal","volume":"21"},"uris":["http://www.mendeley.com/documents/?uuid=8939a80e-ea58-48f1-814c-9e19d832f90d"]},{"id":"ITEM-2","itemData":{"DOI":"10.3390/biom12081136","ISSN":"2218-273X","abstract":"The blood–brain barrier (BBB) is an essential structure for the maintenance of brain homeostasis. Alterations to the BBB are linked with a myriad of pathological conditions and play a significant role in the onset and evolution of neurodegenerative diseases, including Alzheimer’s disease. Thus, a deeper understanding of the BBB’s structure and function is mandatory for a better knowledge of neurodegenerative disorders and the development of effective therapies. Because studying the BBB in vivo imposes overwhelming difficulties, the in vitro approach remains the main possible way of research. With many in vitro BBB models having been developed over the last years, the main aim of this review is to systematically present the most relevant designs used in neurological research. In the first part of the article, the physiological and structural–functional parameters of the human BBB are detailed. Subsequently, available BBB models are presented in a comparative approach, highlighting their advantages and limitations. Finally, the new perspectives related to the study of Alzheimer’s disease with the help of novel devices that mimic the in vivo human BBB milieu gives the paper significant originality.","author":[{"dropping-particle":"","family":"Schreiner","given":"Thomas Gabriel","non-dropping-particle":"","parse-names":false,"suffix":""},{"dropping-particle":"","family":"Creangă-Murariu","given":"Ioana","non-dropping-particle":"","parse-names":false,"suffix":""},{"dropping-particle":"","family":"Tamba","given":"Bogdan Ionel","non-dropping-particle":"","parse-names":false,"suffix":""},{"dropping-particle":"","family":"Lucanu","given":"Nicolae","non-dropping-particle":"","parse-names":false,"suffix":""},{"dropping-particle":"","family":"Popescu","given":"Bogdan Ovidiu","non-dropping-particle":"","parse-names":false,"suffix":""}],"container-title":"Biomolecules","id":"ITEM-2","issue":"8","issued":{"date-parts":[["2022"]]},"title":"In Vitro Modeling of the Blood–Brain Barrier for the Study of Physiological Conditions and Alzheimer’s Disease","type":"article-journal","volume":"12"},"uris":["http://www.mendeley.com/documents/?uuid=8d41a461-bc55-452a-9e64-0c5efe0298e9"]}],"mendeley":{"formattedCitation":"&lt;sup&gt;[24,25]&lt;/sup&gt;","plainTextFormattedCitation":"[24,25]","previouslyFormattedCitation":"&lt;sup&gt;[24,25]&lt;/sup&gt;"},"properties":{"noteIndex":0},"schema":"https://github.com/citation-style-language/schema/raw/master/csl-citation.json"}</w:instrText>
      </w:r>
      <w:r w:rsidRPr="00E635F2">
        <w:fldChar w:fldCharType="separate"/>
      </w:r>
      <w:r w:rsidRPr="00E635F2">
        <w:rPr>
          <w:noProof/>
          <w:vertAlign w:val="superscript"/>
        </w:rPr>
        <w:t>[24,25]</w:t>
      </w:r>
      <w:r w:rsidRPr="00E635F2">
        <w:fldChar w:fldCharType="end"/>
      </w:r>
      <w:r w:rsidRPr="00E635F2">
        <w:t xml:space="preserve"> Overall, microfluidic BBB models provide a promising alternative to traditional </w:t>
      </w:r>
      <w:r w:rsidRPr="00E635F2">
        <w:rPr>
          <w:i/>
          <w:iCs/>
        </w:rPr>
        <w:t>in vitro</w:t>
      </w:r>
      <w:r w:rsidRPr="00E635F2">
        <w:t xml:space="preserve"> cell cultures and animal experimentation, offering the potential for more accurate and realistic BBB modeling.</w:t>
      </w:r>
      <w:r w:rsidRPr="00E635F2">
        <w:rPr>
          <w:color w:val="000000"/>
        </w:rPr>
        <w:t xml:space="preserve"> </w:t>
      </w:r>
    </w:p>
    <w:p w14:paraId="471DB829" w14:textId="5CE6E0FA" w:rsidR="00C90AB6" w:rsidRPr="00E635F2" w:rsidRDefault="00C90AB6" w:rsidP="00C90AB6">
      <w:pPr>
        <w:spacing w:line="276" w:lineRule="auto"/>
        <w:jc w:val="both"/>
      </w:pPr>
      <w:r w:rsidRPr="002071C5">
        <w:rPr>
          <w:color w:val="000000"/>
        </w:rPr>
        <w:t xml:space="preserve">In this study, we designed a tri-compartmental BBB-on-chip model incorporating endothelial, astrocytic, and </w:t>
      </w:r>
      <w:proofErr w:type="spellStart"/>
      <w:r w:rsidRPr="002071C5">
        <w:rPr>
          <w:color w:val="000000"/>
        </w:rPr>
        <w:t>pericytic</w:t>
      </w:r>
      <w:proofErr w:type="spellEnd"/>
      <w:r w:rsidRPr="002071C5">
        <w:rPr>
          <w:color w:val="000000"/>
        </w:rPr>
        <w:t xml:space="preserve"> layers, connected to a tumor chamber with GBM spheroids. We used this platform to demonstrate that monocytes can successfully deliver oHSV-1 across the BBB to infect GBM spheroids, even in the presence of neutralizing antibodies.</w:t>
      </w:r>
    </w:p>
    <w:p w14:paraId="5A2ECB7E" w14:textId="77777777" w:rsidR="00C90AB6" w:rsidRPr="00E635F2" w:rsidRDefault="00C90AB6" w:rsidP="00C90AB6">
      <w:pPr>
        <w:pBdr>
          <w:top w:val="nil"/>
          <w:left w:val="nil"/>
          <w:bottom w:val="nil"/>
          <w:right w:val="nil"/>
          <w:between w:val="nil"/>
        </w:pBdr>
        <w:spacing w:line="276" w:lineRule="auto"/>
        <w:jc w:val="both"/>
        <w:rPr>
          <w:b/>
          <w:color w:val="000000"/>
        </w:rPr>
      </w:pPr>
    </w:p>
    <w:p w14:paraId="00000019" w14:textId="77777777" w:rsidR="00C314E0" w:rsidRPr="00E635F2" w:rsidRDefault="003D595D">
      <w:pPr>
        <w:pBdr>
          <w:top w:val="nil"/>
          <w:left w:val="nil"/>
          <w:bottom w:val="nil"/>
          <w:right w:val="nil"/>
          <w:between w:val="nil"/>
        </w:pBdr>
        <w:spacing w:line="276" w:lineRule="auto"/>
        <w:jc w:val="both"/>
        <w:rPr>
          <w:b/>
          <w:color w:val="000000"/>
        </w:rPr>
      </w:pPr>
      <w:r w:rsidRPr="00E635F2">
        <w:rPr>
          <w:b/>
          <w:color w:val="000000"/>
        </w:rPr>
        <w:t xml:space="preserve">2. Results and discussion </w:t>
      </w:r>
    </w:p>
    <w:p w14:paraId="0000001B" w14:textId="68A935DB" w:rsidR="00C314E0" w:rsidRPr="00E635F2" w:rsidRDefault="00205E33" w:rsidP="00246A01">
      <w:pPr>
        <w:numPr>
          <w:ilvl w:val="1"/>
          <w:numId w:val="1"/>
        </w:numPr>
        <w:pBdr>
          <w:top w:val="nil"/>
          <w:left w:val="nil"/>
          <w:bottom w:val="nil"/>
          <w:right w:val="nil"/>
          <w:between w:val="nil"/>
        </w:pBdr>
        <w:spacing w:before="120" w:after="80" w:line="276" w:lineRule="auto"/>
        <w:jc w:val="both"/>
        <w:rPr>
          <w:b/>
        </w:rPr>
      </w:pPr>
      <w:r w:rsidRPr="00E635F2">
        <w:rPr>
          <w:b/>
          <w:color w:val="000000"/>
        </w:rPr>
        <w:lastRenderedPageBreak/>
        <w:t>A microfluidic BBB-on-chip model allows growth of multiple cell types and BBB-like permeability</w:t>
      </w:r>
    </w:p>
    <w:p w14:paraId="0000001D" w14:textId="40CE99AA" w:rsidR="00C314E0" w:rsidRPr="00E635F2" w:rsidRDefault="003D595D">
      <w:pPr>
        <w:pBdr>
          <w:top w:val="nil"/>
          <w:left w:val="nil"/>
          <w:bottom w:val="nil"/>
          <w:right w:val="nil"/>
          <w:between w:val="nil"/>
        </w:pBdr>
        <w:spacing w:line="276" w:lineRule="auto"/>
        <w:jc w:val="both"/>
        <w:rPr>
          <w:color w:val="000000"/>
        </w:rPr>
      </w:pPr>
      <w:r w:rsidRPr="00E635F2">
        <w:rPr>
          <w:color w:val="000000"/>
        </w:rPr>
        <w:t xml:space="preserve">The BBB-on-chip was designed with a structure consisting of three distinct layers to replicate the BBB microenvironment and incorporate a 3D GBM tumor </w:t>
      </w:r>
      <w:r w:rsidR="00B662E4" w:rsidRPr="00E635F2">
        <w:rPr>
          <w:color w:val="000000"/>
        </w:rPr>
        <w:t>culture</w:t>
      </w:r>
      <w:r w:rsidRPr="00E635F2">
        <w:rPr>
          <w:color w:val="000000"/>
        </w:rPr>
        <w:t xml:space="preserve"> for advanced cancer modeling</w:t>
      </w:r>
      <w:r w:rsidR="00B662E4" w:rsidRPr="00E635F2">
        <w:rPr>
          <w:color w:val="000000"/>
        </w:rPr>
        <w:t xml:space="preserve"> (</w:t>
      </w:r>
      <w:r w:rsidR="00B662E4" w:rsidRPr="00E635F2">
        <w:rPr>
          <w:b/>
          <w:bCs/>
          <w:color w:val="000000"/>
        </w:rPr>
        <w:t>Figure 1</w:t>
      </w:r>
      <w:r w:rsidR="00B662E4" w:rsidRPr="00E635F2">
        <w:rPr>
          <w:color w:val="000000"/>
        </w:rPr>
        <w:t>)</w:t>
      </w:r>
      <w:r w:rsidRPr="00E635F2">
        <w:rPr>
          <w:color w:val="000000"/>
        </w:rPr>
        <w:t xml:space="preserve">. Each compartment serves a specific role in mimicking the physiological interactions between the blood and brain regions. The apical compartment, highlighted in red in </w:t>
      </w:r>
      <w:r w:rsidR="00F84806" w:rsidRPr="00E635F2">
        <w:rPr>
          <w:b/>
          <w:bCs/>
          <w:color w:val="000000"/>
        </w:rPr>
        <w:t xml:space="preserve">Figure </w:t>
      </w:r>
      <w:r w:rsidRPr="00E635F2">
        <w:rPr>
          <w:b/>
          <w:bCs/>
          <w:color w:val="000000"/>
        </w:rPr>
        <w:t>1.A</w:t>
      </w:r>
      <w:r w:rsidRPr="00E635F2">
        <w:rPr>
          <w:color w:val="000000"/>
        </w:rPr>
        <w:t xml:space="preserve">, represents the blood-facing side of the BBB. This layer enables the perfusion of </w:t>
      </w:r>
      <w:r w:rsidR="00B662E4" w:rsidRPr="00E635F2">
        <w:rPr>
          <w:color w:val="000000"/>
        </w:rPr>
        <w:t>culture</w:t>
      </w:r>
      <w:r w:rsidRPr="00E635F2">
        <w:rPr>
          <w:color w:val="000000"/>
        </w:rPr>
        <w:t xml:space="preserve"> medium </w:t>
      </w:r>
      <w:r w:rsidR="00B662E4" w:rsidRPr="00E635F2">
        <w:rPr>
          <w:color w:val="000000"/>
        </w:rPr>
        <w:t>and</w:t>
      </w:r>
      <w:r w:rsidRPr="00E635F2">
        <w:rPr>
          <w:color w:val="000000"/>
        </w:rPr>
        <w:t xml:space="preserve"> </w:t>
      </w:r>
      <w:r w:rsidR="00B662E4" w:rsidRPr="00E635F2">
        <w:rPr>
          <w:color w:val="000000"/>
        </w:rPr>
        <w:t>soluble species</w:t>
      </w:r>
      <w:r w:rsidRPr="00E635F2">
        <w:rPr>
          <w:color w:val="000000"/>
        </w:rPr>
        <w:t xml:space="preserve">, simulating blood flow above the barrier. </w:t>
      </w:r>
      <w:r w:rsidR="00A64785" w:rsidRPr="00E635F2">
        <w:rPr>
          <w:color w:val="000000"/>
        </w:rPr>
        <w:t>Continuous</w:t>
      </w:r>
      <w:r w:rsidRPr="00E635F2">
        <w:rPr>
          <w:color w:val="000000"/>
        </w:rPr>
        <w:t xml:space="preserve"> perfusion creates dynamic conditions critical for evaluating the transport and permeability of molecules across the BBB. The membrane layer, shown in black in </w:t>
      </w:r>
      <w:r w:rsidR="00F84806" w:rsidRPr="00E635F2">
        <w:rPr>
          <w:b/>
          <w:bCs/>
          <w:color w:val="000000"/>
        </w:rPr>
        <w:t xml:space="preserve">Figure </w:t>
      </w:r>
      <w:r w:rsidRPr="00E635F2">
        <w:rPr>
          <w:b/>
          <w:bCs/>
          <w:color w:val="000000"/>
        </w:rPr>
        <w:t>1.A</w:t>
      </w:r>
      <w:r w:rsidRPr="00E635F2">
        <w:rPr>
          <w:color w:val="000000"/>
        </w:rPr>
        <w:t>, plays a fundamental role in mimicking the selective barrier properties of the BBB. The membranes used in this model are</w:t>
      </w:r>
      <w:r w:rsidR="00444606" w:rsidRPr="00E635F2">
        <w:rPr>
          <w:color w:val="000000"/>
        </w:rPr>
        <w:t xml:space="preserve"> made of</w:t>
      </w:r>
      <w:r w:rsidRPr="00E635F2">
        <w:rPr>
          <w:color w:val="000000"/>
        </w:rPr>
        <w:t xml:space="preserve"> transparent polyester (PETE) with a 3 </w:t>
      </w:r>
      <w:proofErr w:type="spellStart"/>
      <w:r w:rsidRPr="00E635F2">
        <w:rPr>
          <w:color w:val="000000"/>
        </w:rPr>
        <w:t>μm</w:t>
      </w:r>
      <w:proofErr w:type="spellEnd"/>
      <w:r w:rsidRPr="00E635F2">
        <w:rPr>
          <w:color w:val="000000"/>
        </w:rPr>
        <w:t xml:space="preserve"> pore diameter. The basolateral compartment, marked in yellow in </w:t>
      </w:r>
      <w:r w:rsidR="00F84806" w:rsidRPr="00E635F2">
        <w:rPr>
          <w:b/>
          <w:bCs/>
          <w:color w:val="000000"/>
        </w:rPr>
        <w:t xml:space="preserve">Figure </w:t>
      </w:r>
      <w:r w:rsidRPr="00E635F2">
        <w:rPr>
          <w:b/>
          <w:bCs/>
          <w:color w:val="000000"/>
        </w:rPr>
        <w:t>1.A</w:t>
      </w:r>
      <w:r w:rsidRPr="00E635F2">
        <w:rPr>
          <w:color w:val="000000"/>
        </w:rPr>
        <w:t xml:space="preserve">, represents the brain-facing side of the BBB. This compartment includes a tumor area composed of three </w:t>
      </w:r>
      <w:sdt>
        <w:sdtPr>
          <w:tag w:val="goog_rdk_3"/>
          <w:id w:val="976426478"/>
        </w:sdtPr>
        <w:sdtContent/>
      </w:sdt>
      <w:r w:rsidRPr="00E635F2">
        <w:rPr>
          <w:color w:val="000000"/>
        </w:rPr>
        <w:t xml:space="preserve">microwells designed to accommodate 3D spheroids (red dashed </w:t>
      </w:r>
      <w:r w:rsidR="00D90612" w:rsidRPr="00E635F2">
        <w:rPr>
          <w:color w:val="000000"/>
        </w:rPr>
        <w:t>box</w:t>
      </w:r>
      <w:r w:rsidRPr="00E635F2">
        <w:rPr>
          <w:color w:val="000000"/>
        </w:rPr>
        <w:t xml:space="preserve"> in </w:t>
      </w:r>
      <w:r w:rsidR="00F84806" w:rsidRPr="00E635F2">
        <w:rPr>
          <w:b/>
          <w:bCs/>
          <w:color w:val="000000"/>
        </w:rPr>
        <w:t xml:space="preserve">Figure </w:t>
      </w:r>
      <w:r w:rsidRPr="00E635F2">
        <w:rPr>
          <w:b/>
          <w:bCs/>
          <w:color w:val="000000"/>
        </w:rPr>
        <w:t>1.B</w:t>
      </w:r>
      <w:r w:rsidRPr="00E635F2">
        <w:rPr>
          <w:color w:val="000000"/>
        </w:rPr>
        <w:t xml:space="preserve">). The inclusion of the tumor compartment provides a physiologically relevant microenvironment </w:t>
      </w:r>
      <w:r w:rsidR="008F15A6">
        <w:rPr>
          <w:color w:val="000000"/>
        </w:rPr>
        <w:t>to</w:t>
      </w:r>
      <w:r w:rsidR="008F15A6" w:rsidRPr="00E635F2">
        <w:rPr>
          <w:color w:val="000000"/>
        </w:rPr>
        <w:t xml:space="preserve"> </w:t>
      </w:r>
      <w:r w:rsidRPr="00E635F2">
        <w:rPr>
          <w:color w:val="000000"/>
        </w:rPr>
        <w:t xml:space="preserve">study tumor-BBB interactions, drug penetration, and spheroid behavior under perfused conditions. </w:t>
      </w:r>
    </w:p>
    <w:p w14:paraId="0000001E" w14:textId="3E1994A5" w:rsidR="00C314E0" w:rsidRPr="00E635F2" w:rsidRDefault="003D595D">
      <w:pPr>
        <w:pBdr>
          <w:top w:val="nil"/>
          <w:left w:val="nil"/>
          <w:bottom w:val="nil"/>
          <w:right w:val="nil"/>
          <w:between w:val="nil"/>
        </w:pBdr>
        <w:spacing w:line="276" w:lineRule="auto"/>
        <w:jc w:val="both"/>
        <w:rPr>
          <w:color w:val="000000"/>
        </w:rPr>
      </w:pPr>
      <w:r w:rsidRPr="00E635F2">
        <w:rPr>
          <w:color w:val="000000"/>
        </w:rPr>
        <w:t xml:space="preserve">Stable co-culture within the BBB-on-chip </w:t>
      </w:r>
      <w:r w:rsidR="00D90612" w:rsidRPr="00E635F2">
        <w:rPr>
          <w:color w:val="000000"/>
        </w:rPr>
        <w:t>follows an optimized</w:t>
      </w:r>
      <w:r w:rsidRPr="00E635F2">
        <w:rPr>
          <w:color w:val="000000"/>
        </w:rPr>
        <w:t xml:space="preserve"> sequential seeding protocol to ensure the proper attachment and viability of all cell lines. Astrocytes and pericytes are first seeded on the basolateral side of the porous PETE membrane and</w:t>
      </w:r>
      <w:r w:rsidR="008F15A6">
        <w:rPr>
          <w:color w:val="000000"/>
        </w:rPr>
        <w:t xml:space="preserve"> then</w:t>
      </w:r>
      <w:r w:rsidRPr="00E635F2">
        <w:rPr>
          <w:color w:val="000000"/>
        </w:rPr>
        <w:t xml:space="preserve"> incubated overnight to facilitate adhesion. The following day,</w:t>
      </w:r>
      <w:r w:rsidR="00214816" w:rsidRPr="00214816">
        <w:t xml:space="preserve"> </w:t>
      </w:r>
      <w:r w:rsidR="00214816">
        <w:rPr>
          <w:color w:val="000000"/>
        </w:rPr>
        <w:t>h</w:t>
      </w:r>
      <w:r w:rsidR="00214816" w:rsidRPr="00214816">
        <w:rPr>
          <w:color w:val="000000"/>
        </w:rPr>
        <w:t xml:space="preserve">uman umbilical vein endothelial </w:t>
      </w:r>
      <w:proofErr w:type="gramStart"/>
      <w:r w:rsidR="00214816" w:rsidRPr="00214816">
        <w:rPr>
          <w:color w:val="000000"/>
        </w:rPr>
        <w:t>cell</w:t>
      </w:r>
      <w:r w:rsidR="00214816">
        <w:rPr>
          <w:color w:val="000000"/>
        </w:rPr>
        <w:t>s(</w:t>
      </w:r>
      <w:proofErr w:type="gramEnd"/>
      <w:r w:rsidRPr="00E635F2">
        <w:rPr>
          <w:color w:val="000000"/>
        </w:rPr>
        <w:t>HUVECs</w:t>
      </w:r>
      <w:r w:rsidR="00214816">
        <w:rPr>
          <w:color w:val="000000"/>
        </w:rPr>
        <w:t>)</w:t>
      </w:r>
      <w:r w:rsidRPr="00E635F2">
        <w:rPr>
          <w:color w:val="000000"/>
        </w:rPr>
        <w:t xml:space="preserve"> are seeded on the apical side to complete the BBB structure. Live/Dead assay results, presented in </w:t>
      </w:r>
      <w:r w:rsidRPr="00E635F2">
        <w:rPr>
          <w:b/>
          <w:bCs/>
          <w:color w:val="000000"/>
        </w:rPr>
        <w:t>Supplementary Figure S.1</w:t>
      </w:r>
      <w:r w:rsidRPr="00E635F2">
        <w:rPr>
          <w:color w:val="000000"/>
        </w:rPr>
        <w:t xml:space="preserve">, demonstrate successful attachment and high viability of </w:t>
      </w:r>
      <w:r w:rsidR="005C4AB3" w:rsidRPr="00E635F2">
        <w:rPr>
          <w:color w:val="000000"/>
        </w:rPr>
        <w:t>all cell types</w:t>
      </w:r>
      <w:r w:rsidRPr="00E635F2">
        <w:rPr>
          <w:color w:val="000000"/>
        </w:rPr>
        <w:t xml:space="preserve"> on their respective side of the PETE membrane. These findings confirm that the seeding protocol and microenvironment within the BBB-on-chip are suitable for the growth and maintenance of the </w:t>
      </w:r>
      <w:r w:rsidR="00D90612" w:rsidRPr="00E635F2">
        <w:rPr>
          <w:color w:val="000000"/>
        </w:rPr>
        <w:t>three</w:t>
      </w:r>
      <w:r w:rsidRPr="00E635F2">
        <w:rPr>
          <w:color w:val="000000"/>
        </w:rPr>
        <w:t xml:space="preserve">-culture model. </w:t>
      </w:r>
    </w:p>
    <w:p w14:paraId="0000001F" w14:textId="195DB7D4" w:rsidR="00C314E0" w:rsidRPr="00E635F2" w:rsidRDefault="003D595D">
      <w:pPr>
        <w:pBdr>
          <w:top w:val="nil"/>
          <w:left w:val="nil"/>
          <w:bottom w:val="nil"/>
          <w:right w:val="nil"/>
          <w:between w:val="nil"/>
        </w:pBdr>
        <w:spacing w:line="276" w:lineRule="auto"/>
        <w:jc w:val="both"/>
        <w:rPr>
          <w:color w:val="000000"/>
        </w:rPr>
      </w:pPr>
      <w:r w:rsidRPr="00E635F2">
        <w:rPr>
          <w:color w:val="000000"/>
        </w:rPr>
        <w:t xml:space="preserve">Based on the results of numerical simulations, the </w:t>
      </w:r>
      <w:r w:rsidR="008D518B" w:rsidRPr="00E635F2">
        <w:rPr>
          <w:color w:val="000000"/>
        </w:rPr>
        <w:t xml:space="preserve">cell culture medium perfusion </w:t>
      </w:r>
      <w:r w:rsidRPr="00E635F2">
        <w:rPr>
          <w:color w:val="000000"/>
        </w:rPr>
        <w:t xml:space="preserve">flow rate through the blood side (Inlet/Outlet 2 in </w:t>
      </w:r>
      <w:r w:rsidR="00F84806" w:rsidRPr="00E635F2">
        <w:rPr>
          <w:b/>
          <w:bCs/>
          <w:color w:val="000000"/>
        </w:rPr>
        <w:t xml:space="preserve">Figure </w:t>
      </w:r>
      <w:r w:rsidRPr="00E635F2">
        <w:rPr>
          <w:b/>
          <w:bCs/>
          <w:color w:val="000000"/>
        </w:rPr>
        <w:t>1.B</w:t>
      </w:r>
      <w:r w:rsidRPr="00E635F2">
        <w:rPr>
          <w:color w:val="000000"/>
        </w:rPr>
        <w:t xml:space="preserve">) </w:t>
      </w:r>
      <w:r w:rsidR="008D518B" w:rsidRPr="00E635F2">
        <w:rPr>
          <w:color w:val="000000"/>
        </w:rPr>
        <w:t>is</w:t>
      </w:r>
      <w:r w:rsidRPr="00E635F2">
        <w:rPr>
          <w:color w:val="000000"/>
        </w:rPr>
        <w:t xml:space="preserve"> set to 30 µL/min, corresponding to a shear stress at the bottom wall of </w:t>
      </w:r>
      <w:sdt>
        <w:sdtPr>
          <w:tag w:val="goog_rdk_4"/>
          <w:id w:val="-1273232963"/>
        </w:sdtPr>
        <w:sdtContent/>
      </w:sdt>
      <w:r w:rsidR="00D93B2B" w:rsidRPr="00E635F2">
        <w:rPr>
          <w:color w:val="000000"/>
        </w:rPr>
        <w:t>~7</w:t>
      </w:r>
      <w:r w:rsidRPr="00E635F2">
        <w:rPr>
          <w:color w:val="000000"/>
        </w:rPr>
        <w:t xml:space="preserve"> dyne/cm² (see </w:t>
      </w:r>
      <w:r w:rsidR="00F63468" w:rsidRPr="00E635F2">
        <w:rPr>
          <w:b/>
          <w:bCs/>
          <w:color w:val="000000"/>
        </w:rPr>
        <w:t>S</w:t>
      </w:r>
      <w:r w:rsidRPr="00E635F2">
        <w:rPr>
          <w:b/>
          <w:bCs/>
          <w:color w:val="000000"/>
        </w:rPr>
        <w:t>upplementary Figure S.2</w:t>
      </w:r>
      <w:r w:rsidRPr="00E635F2">
        <w:rPr>
          <w:color w:val="000000"/>
        </w:rPr>
        <w:t xml:space="preserve"> for additional details). This value falls within the physiological shear stress range reported in the literature for blood vessels, which is between 3-25 dyne/cm²</w:t>
      </w:r>
      <w:r w:rsidR="00485090" w:rsidRPr="00E635F2">
        <w:rPr>
          <w:color w:val="000000"/>
        </w:rPr>
        <w:fldChar w:fldCharType="begin" w:fldLock="1"/>
      </w:r>
      <w:r w:rsidR="00485090" w:rsidRPr="00E635F2">
        <w:rPr>
          <w:color w:val="000000"/>
        </w:rPr>
        <w:instrText>ADDIN CSL_CITATION {"citationItems":[{"id":"ITEM-1","itemData":{"DOI":"10.1007/BF02463726","ISSN":"0092-8240 (Print)","PMID":"6713148","author":[{"dropping-particle":"","family":"Kamiya","given":"A","non-dropping-particle":"","parse-names":false,"suffix":""},{"dropping-particle":"","family":"Bukhari","given":"R","non-dropping-particle":"","parse-names":false,"suffix":""},{"dropping-particle":"","family":"Togawa","given":"T","non-dropping-particle":"","parse-names":false,"suffix":""}],"container-title":"Bulletin of mathematical biology","id":"ITEM-1","issue":"1","issued":{"date-parts":[["1984"]]},"language":"eng","page":"127-137","publisher-place":"United States","title":"Adaptive regulation of wall shear stress optimizing vascular tree function.","type":"article-journal","volume":"46"},"uris":["http://www.mendeley.com/documents/?uuid=2ce4d121-6627-4ce7-9c7c-e9462c97c00e"]}],"mendeley":{"formattedCitation":"&lt;sup&gt;[26]&lt;/sup&gt;","plainTextFormattedCitation":"[26]","previouslyFormattedCitation":"&lt;sup&gt;[26]&lt;/sup&gt;"},"properties":{"noteIndex":0},"schema":"https://github.com/citation-style-language/schema/raw/master/csl-citation.json"}</w:instrText>
      </w:r>
      <w:r w:rsidR="00485090" w:rsidRPr="00E635F2">
        <w:rPr>
          <w:color w:val="000000"/>
        </w:rPr>
        <w:fldChar w:fldCharType="separate"/>
      </w:r>
      <w:r w:rsidR="00485090" w:rsidRPr="00E635F2">
        <w:rPr>
          <w:noProof/>
          <w:color w:val="000000"/>
          <w:vertAlign w:val="superscript"/>
        </w:rPr>
        <w:t>[26]</w:t>
      </w:r>
      <w:r w:rsidR="00485090" w:rsidRPr="00E635F2">
        <w:rPr>
          <w:color w:val="000000"/>
        </w:rPr>
        <w:fldChar w:fldCharType="end"/>
      </w:r>
      <w:r w:rsidRPr="00E635F2">
        <w:rPr>
          <w:color w:val="000000"/>
        </w:rPr>
        <w:t xml:space="preserve"> and plays a critical role in maintaining BBB integrity and function. Physiological shear stress levels are also essential for regulating endothelial cell function, promoting barrier tightness, and facilitating proper nutrient and waste exchange. </w:t>
      </w:r>
    </w:p>
    <w:p w14:paraId="00000020" w14:textId="28FC2700" w:rsidR="00C314E0" w:rsidRPr="00E635F2" w:rsidRDefault="003D595D">
      <w:pPr>
        <w:pBdr>
          <w:top w:val="nil"/>
          <w:left w:val="nil"/>
          <w:bottom w:val="nil"/>
          <w:right w:val="nil"/>
          <w:between w:val="nil"/>
        </w:pBdr>
        <w:spacing w:line="276" w:lineRule="auto"/>
        <w:jc w:val="both"/>
        <w:rPr>
          <w:b/>
          <w:color w:val="000000"/>
        </w:rPr>
      </w:pPr>
      <w:r w:rsidRPr="00E635F2">
        <w:rPr>
          <w:color w:val="000000"/>
        </w:rPr>
        <w:t>After seeding, the</w:t>
      </w:r>
      <w:r w:rsidR="00205E33" w:rsidRPr="00E635F2">
        <w:rPr>
          <w:color w:val="000000"/>
        </w:rPr>
        <w:t xml:space="preserve"> maturation of the</w:t>
      </w:r>
      <w:r w:rsidRPr="00E635F2">
        <w:rPr>
          <w:color w:val="000000"/>
        </w:rPr>
        <w:t xml:space="preserve"> barrier in the microdevices</w:t>
      </w:r>
      <w:r w:rsidR="00205E33" w:rsidRPr="00E635F2">
        <w:rPr>
          <w:color w:val="000000"/>
        </w:rPr>
        <w:t xml:space="preserve"> was monitored</w:t>
      </w:r>
      <w:r w:rsidRPr="00E635F2">
        <w:rPr>
          <w:color w:val="000000"/>
        </w:rPr>
        <w:t xml:space="preserve"> over the course of </w:t>
      </w:r>
      <w:r w:rsidR="0056325D" w:rsidRPr="00E635F2">
        <w:rPr>
          <w:color w:val="000000"/>
        </w:rPr>
        <w:t>7</w:t>
      </w:r>
      <w:r w:rsidRPr="00E635F2">
        <w:rPr>
          <w:color w:val="000000"/>
        </w:rPr>
        <w:t xml:space="preserve"> days, performing daily </w:t>
      </w:r>
      <w:proofErr w:type="spellStart"/>
      <w:r w:rsidRPr="00E635F2">
        <w:rPr>
          <w:color w:val="000000"/>
        </w:rPr>
        <w:t>Transendothelial</w:t>
      </w:r>
      <w:proofErr w:type="spellEnd"/>
      <w:r w:rsidRPr="00E635F2">
        <w:rPr>
          <w:color w:val="000000"/>
        </w:rPr>
        <w:t xml:space="preserve"> Electrical Resistance (TEER) measurements using a </w:t>
      </w:r>
      <w:proofErr w:type="spellStart"/>
      <w:r w:rsidRPr="00E635F2">
        <w:rPr>
          <w:color w:val="000000"/>
        </w:rPr>
        <w:t>volt</w:t>
      </w:r>
      <w:r w:rsidR="00614C02" w:rsidRPr="00E635F2">
        <w:rPr>
          <w:color w:val="000000"/>
        </w:rPr>
        <w:t>ohmmeter</w:t>
      </w:r>
      <w:proofErr w:type="spellEnd"/>
      <w:r w:rsidRPr="00E635F2">
        <w:rPr>
          <w:color w:val="000000"/>
        </w:rPr>
        <w:t xml:space="preserve"> (</w:t>
      </w:r>
      <w:r w:rsidR="00F84806" w:rsidRPr="00E635F2">
        <w:rPr>
          <w:b/>
          <w:bCs/>
          <w:color w:val="000000"/>
        </w:rPr>
        <w:t xml:space="preserve">Figure </w:t>
      </w:r>
      <w:r w:rsidRPr="00E635F2">
        <w:rPr>
          <w:b/>
          <w:bCs/>
          <w:color w:val="000000"/>
        </w:rPr>
        <w:t>1.C</w:t>
      </w:r>
      <w:r w:rsidRPr="00E635F2">
        <w:rPr>
          <w:color w:val="000000"/>
        </w:rPr>
        <w:t>). TEER values progressively increase over time, peak</w:t>
      </w:r>
      <w:r w:rsidR="0056325D" w:rsidRPr="00E635F2">
        <w:rPr>
          <w:color w:val="000000"/>
        </w:rPr>
        <w:t xml:space="preserve">ing </w:t>
      </w:r>
      <w:r w:rsidR="00F84806" w:rsidRPr="00E635F2">
        <w:rPr>
          <w:color w:val="000000"/>
        </w:rPr>
        <w:t xml:space="preserve">approximately </w:t>
      </w:r>
      <w:r w:rsidR="0056325D" w:rsidRPr="00E635F2">
        <w:rPr>
          <w:color w:val="000000"/>
        </w:rPr>
        <w:t>at</w:t>
      </w:r>
      <w:r w:rsidRPr="00E635F2">
        <w:rPr>
          <w:color w:val="000000"/>
        </w:rPr>
        <w:t xml:space="preserve"> 340 Ω</w:t>
      </w:r>
      <w:r w:rsidR="008C4A23">
        <w:rPr>
          <w:color w:val="000000"/>
        </w:rPr>
        <w:t>x</w:t>
      </w:r>
      <w:r w:rsidRPr="00E635F2">
        <w:rPr>
          <w:color w:val="000000"/>
        </w:rPr>
        <w:t xml:space="preserve">cm² on day 7, indicating the successful formation and maturation of </w:t>
      </w:r>
      <w:r w:rsidR="008D518B" w:rsidRPr="00E635F2">
        <w:rPr>
          <w:color w:val="000000"/>
        </w:rPr>
        <w:t>the</w:t>
      </w:r>
      <w:r w:rsidRPr="00E635F2">
        <w:rPr>
          <w:color w:val="000000"/>
        </w:rPr>
        <w:t xml:space="preserve"> barrier</w:t>
      </w:r>
      <w:r w:rsidR="00E61FD8" w:rsidRPr="00E635F2">
        <w:rPr>
          <w:color w:val="000000"/>
        </w:rPr>
        <w:t>,</w:t>
      </w:r>
      <w:r w:rsidRPr="00E635F2">
        <w:rPr>
          <w:color w:val="000000"/>
        </w:rPr>
        <w:t xml:space="preserve"> consistently with</w:t>
      </w:r>
      <w:r w:rsidR="008F15A6">
        <w:rPr>
          <w:color w:val="000000"/>
        </w:rPr>
        <w:t xml:space="preserve"> available</w:t>
      </w:r>
      <w:r w:rsidRPr="00E635F2">
        <w:rPr>
          <w:color w:val="000000"/>
        </w:rPr>
        <w:t xml:space="preserve"> </w:t>
      </w:r>
      <w:r w:rsidR="008D518B" w:rsidRPr="00E635F2">
        <w:rPr>
          <w:color w:val="000000"/>
        </w:rPr>
        <w:t xml:space="preserve">literature </w:t>
      </w:r>
      <w:r w:rsidRPr="00E635F2">
        <w:rPr>
          <w:color w:val="000000"/>
        </w:rPr>
        <w:t>data for comparable on-chip systems.</w:t>
      </w:r>
      <w:r w:rsidR="00485090" w:rsidRPr="00E635F2">
        <w:rPr>
          <w:color w:val="000000"/>
        </w:rPr>
        <w:fldChar w:fldCharType="begin" w:fldLock="1"/>
      </w:r>
      <w:r w:rsidR="001D6B1C" w:rsidRPr="00E635F2">
        <w:rPr>
          <w:color w:val="000000"/>
        </w:rPr>
        <w:instrText>ADDIN CSL_CITATION {"citationItems":[{"id":"ITEM-1","itemData":{"DOI":"10.1016/j.copbio.2020.06.009","ISSN":"1879-0429 (Electronic)","PMID":"32711361","abstract":"Though the blood-brain barrier (BBB) is vital for the maintenance of brain  homeostasis, it also accounts for a high attrition rate of therapies targeting the central nervous system (CNS). The challenge of delivery across the BBB is attributed to a combination of low permeability through an endothelium closely knit by tight and adherens junctions, extremely low rates of endothelial transcytosis, and efflux transporters. In the past decade, enormous research efforts have been spent to develop BBB penetration strategies using biochemical or physical stimuli, aided by BBB-on-chips or microphysiological BBB models to facilitate in vitro studies. Here, we discuss recent advances in BBB-chip technology that have enabled effective preclinical screenings of brain targeting therapeutics and external stimulation, such as sonoporation and electroporation, for improved BBB penetration.","author":[{"dropping-particle":"","family":"Lee","given":"Caleb S","non-dropping-particle":"","parse-names":false,"suffix":""},{"dropping-particle":"","family":"Leong","given":"Kam W","non-dropping-particle":"","parse-names":false,"suffix":""}],"container-title":"Current opinion in biotechnology","id":"ITEM-1","issued":{"date-parts":[["2020","12"]]},"language":"eng","page":"78-87","publisher-place":"England","title":"Advances in microphysiological blood-brain barrier (BBB) models towards drug  delivery.","type":"article-journal","volume":"66"},"uris":["http://www.mendeley.com/documents/?uuid=5bd9a889-d685-45df-bb69-9ef687367e27"]}],"mendeley":{"formattedCitation":"&lt;sup&gt;[27]&lt;/sup&gt;","plainTextFormattedCitation":"[27]","previouslyFormattedCitation":"&lt;sup&gt;[27]&lt;/sup&gt;"},"properties":{"noteIndex":0},"schema":"https://github.com/citation-style-language/schema/raw/master/csl-citation.json"}</w:instrText>
      </w:r>
      <w:r w:rsidR="00485090" w:rsidRPr="00E635F2">
        <w:rPr>
          <w:color w:val="000000"/>
        </w:rPr>
        <w:fldChar w:fldCharType="separate"/>
      </w:r>
      <w:r w:rsidR="00485090" w:rsidRPr="00E635F2">
        <w:rPr>
          <w:noProof/>
          <w:color w:val="000000"/>
          <w:vertAlign w:val="superscript"/>
        </w:rPr>
        <w:t>[27]</w:t>
      </w:r>
      <w:r w:rsidR="00485090" w:rsidRPr="00E635F2">
        <w:rPr>
          <w:color w:val="000000"/>
        </w:rPr>
        <w:fldChar w:fldCharType="end"/>
      </w:r>
    </w:p>
    <w:p w14:paraId="00000021" w14:textId="35887968" w:rsidR="00C314E0" w:rsidRPr="00E635F2" w:rsidRDefault="003D595D">
      <w:pPr>
        <w:pBdr>
          <w:top w:val="nil"/>
          <w:left w:val="nil"/>
          <w:bottom w:val="nil"/>
          <w:right w:val="nil"/>
          <w:between w:val="nil"/>
        </w:pBdr>
        <w:spacing w:line="276" w:lineRule="auto"/>
        <w:jc w:val="both"/>
        <w:rPr>
          <w:color w:val="000000"/>
        </w:rPr>
      </w:pPr>
      <w:r w:rsidRPr="00E635F2">
        <w:rPr>
          <w:color w:val="000000"/>
        </w:rPr>
        <w:t xml:space="preserve">After 7 days of perfused culture, </w:t>
      </w:r>
      <w:r w:rsidR="00851EDD" w:rsidRPr="00E635F2">
        <w:rPr>
          <w:color w:val="000000"/>
        </w:rPr>
        <w:t xml:space="preserve">the identity of </w:t>
      </w:r>
      <w:r w:rsidRPr="00E635F2">
        <w:rPr>
          <w:color w:val="000000"/>
        </w:rPr>
        <w:t>cells</w:t>
      </w:r>
      <w:r w:rsidR="00851EDD" w:rsidRPr="00E635F2">
        <w:rPr>
          <w:color w:val="000000"/>
        </w:rPr>
        <w:t xml:space="preserve"> growing on both sides of the membrane was confirmed by immunofluorescence. Specifically, we detected </w:t>
      </w:r>
      <w:r w:rsidR="00D62FD6" w:rsidRPr="00E635F2">
        <w:rPr>
          <w:color w:val="000000"/>
        </w:rPr>
        <w:t>platelet and endothelial cell adhesion molecule 1 (PECAM, or CD31) and zonula occludens-1 (ZO-1) in the endothelial layer of the membrane. Both proteins are involved in endothelial cell junctions and ZO-1 has a prominent role in the formation of tight junctions</w:t>
      </w:r>
      <w:r w:rsidR="00E61FD8" w:rsidRPr="00E635F2">
        <w:rPr>
          <w:color w:val="000000"/>
        </w:rPr>
        <w:t>,</w:t>
      </w:r>
      <w:r w:rsidR="00387278" w:rsidRPr="00E635F2">
        <w:rPr>
          <w:color w:val="000000"/>
        </w:rPr>
        <w:t xml:space="preserve"> which</w:t>
      </w:r>
      <w:r w:rsidR="00D62FD6" w:rsidRPr="00E635F2">
        <w:rPr>
          <w:color w:val="000000"/>
        </w:rPr>
        <w:t xml:space="preserve"> are fundamental for BBB function. On the brain side of the barrier, we detected glial fibrillary acidic protein (GFAP), which is a widely used marker for astrocytes </w:t>
      </w:r>
      <w:r w:rsidR="00D62FD6" w:rsidRPr="008D588A">
        <w:rPr>
          <w:color w:val="000000"/>
        </w:rPr>
        <w:t>(</w:t>
      </w:r>
      <w:r w:rsidR="0064562E" w:rsidRPr="008D588A">
        <w:rPr>
          <w:b/>
          <w:bCs/>
          <w:color w:val="000000"/>
        </w:rPr>
        <w:t>Figure</w:t>
      </w:r>
      <w:r w:rsidR="00D62FD6" w:rsidRPr="008D588A">
        <w:rPr>
          <w:b/>
          <w:bCs/>
          <w:color w:val="000000"/>
        </w:rPr>
        <w:t xml:space="preserve"> 1.</w:t>
      </w:r>
      <w:r w:rsidR="008F3C1C" w:rsidRPr="008D588A">
        <w:rPr>
          <w:b/>
          <w:bCs/>
          <w:color w:val="000000"/>
        </w:rPr>
        <w:t>E</w:t>
      </w:r>
      <w:r w:rsidR="00D62FD6" w:rsidRPr="008D588A">
        <w:rPr>
          <w:color w:val="000000"/>
        </w:rPr>
        <w:t>).</w:t>
      </w:r>
      <w:r w:rsidRPr="00E635F2">
        <w:rPr>
          <w:color w:val="000000"/>
        </w:rPr>
        <w:t xml:space="preserve"> </w:t>
      </w:r>
      <w:r w:rsidR="00D62FD6" w:rsidRPr="00E635F2">
        <w:rPr>
          <w:color w:val="000000"/>
        </w:rPr>
        <w:t xml:space="preserve">Astrocytes play a critical role in maintaining BBB integrity by regulating tight junction formation, providing metabolic support, and modulating the selective permeability of </w:t>
      </w:r>
      <w:r w:rsidR="00D62FD6" w:rsidRPr="00E635F2">
        <w:rPr>
          <w:color w:val="000000"/>
        </w:rPr>
        <w:lastRenderedPageBreak/>
        <w:t>the barrier</w:t>
      </w:r>
      <w:r w:rsidR="002E710B" w:rsidRPr="00E635F2">
        <w:rPr>
          <w:color w:val="000000"/>
        </w:rPr>
        <w:t>.</w:t>
      </w:r>
      <w:r w:rsidR="002E710B" w:rsidRPr="00E635F2">
        <w:rPr>
          <w:color w:val="000000"/>
        </w:rPr>
        <w:fldChar w:fldCharType="begin" w:fldLock="1"/>
      </w:r>
      <w:r w:rsidR="001D6B1C" w:rsidRPr="00E635F2">
        <w:rPr>
          <w:color w:val="000000"/>
        </w:rPr>
        <w:instrText>ADDIN CSL_CITATION {"citationItems":[{"id":"ITEM-1","itemData":{"DOI":"10.3390/ijms25126496","ISBN":"8129863669","ISSN":"14220067","PMID":"38928202","abstract":"Blood–brain barrier (BBB) dysfunction is a key feature in neuroimmunological and neurodegenerative diseases. In this study, we developed a microfluidic human BBB-on-a-chip to model barrier dysfunction and immune cell migration using immortalized TY10 brain endothelial cells, pericytes, and astrocytes. It was found that immortalized TY10 brain endothelial cells developed a microvascular structure under flow. Pericytes were localized on the basal side surrounding the TY10 microvascular structure, showing an in vivo-like structure. Barrier integrity increased under co-culture with pericytes. In addition, both ethylenediaminetetraacetic acid (EDTA) and anti-Claudin-5 (CLDN5) neutralizing antibody caused a decrease in the transendothelial electrical resistance (TEER). EDTA caused the leakage of 20 kDa dextran, suggesting different effects on the BBB based on the mechanism of action, whereas anti-CLDN5 antibody did not cause leakage. In the tri-culture model, human T cells migrated through endothelial vessels towards basal C-X-C motif chemokine ligand 12 (CXCL12). The live-imaging analysis confirmed the extravasation of fluorescence-labelled T cells in a CXCL12-concentration- and time-dependent manner. Our BBB model had an in vivo-like structure and successfully represented barrier dysfunction and transendothelial T cell migration. In addition, our study suggests that the inhibition of CLDN5 attenuates the BBB in humans. This platform has various potential uses in relation to the BBB in both drug discovery research and in elucidating the mechanisms of central nervous system diseases.","author":[{"dropping-particle":"","family":"Ohbuchi","given":"Masato","non-dropping-particle":"","parse-names":false,"suffix":""},{"dropping-particle":"","family":"Shibuta","given":"Mayu","non-dropping-particle":"","parse-names":false,"suffix":""},{"dropping-particle":"","family":"Tetsuka","given":"Kazuhiro","non-dropping-particle":"","parse-names":false,"suffix":""},{"dropping-particle":"","family":"Sasaki-Iwaoka","given":"Haruna","non-dropping-particle":"","parse-names":false,"suffix":""},{"dropping-particle":"","family":"Oishi","given":"Masayo","non-dropping-particle":"","parse-names":false,"suffix":""},{"dropping-particle":"","family":"Shimizu","given":"Fumitaka","non-dropping-particle":"","parse-names":false,"suffix":""},{"dropping-particle":"","family":"Nagasaka","given":"Yasuhisa","non-dropping-particle":"","parse-names":false,"suffix":""}],"container-title":"International Journal of Molecular Sciences","id":"ITEM-1","issue":"12","issued":{"date-parts":[["2024"]]},"title":"Modeling of Blood–Brain Barrier (BBB) Dysfunction and Immune Cell Migration Using Human BBB-on-a-Chip for Drug Discovery Research","type":"article-journal","volume":"25"},"uris":["http://www.mendeley.com/documents/?uuid=519e9d7b-bcac-4cad-b4d9-848401d3e4a5"]}],"mendeley":{"formattedCitation":"&lt;sup&gt;[28]&lt;/sup&gt;","plainTextFormattedCitation":"[28]","previouslyFormattedCitation":"&lt;sup&gt;[28]&lt;/sup&gt;"},"properties":{"noteIndex":0},"schema":"https://github.com/citation-style-language/schema/raw/master/csl-citation.json"}</w:instrText>
      </w:r>
      <w:r w:rsidR="002E710B" w:rsidRPr="00E635F2">
        <w:rPr>
          <w:color w:val="000000"/>
        </w:rPr>
        <w:fldChar w:fldCharType="separate"/>
      </w:r>
      <w:r w:rsidR="00485090" w:rsidRPr="00E635F2">
        <w:rPr>
          <w:noProof/>
          <w:color w:val="000000"/>
          <w:vertAlign w:val="superscript"/>
        </w:rPr>
        <w:t>[28]</w:t>
      </w:r>
      <w:r w:rsidR="002E710B" w:rsidRPr="00E635F2">
        <w:rPr>
          <w:color w:val="000000"/>
        </w:rPr>
        <w:fldChar w:fldCharType="end"/>
      </w:r>
      <w:r w:rsidR="00485090" w:rsidRPr="00E635F2">
        <w:rPr>
          <w:color w:val="000000"/>
        </w:rPr>
        <w:t xml:space="preserve"> </w:t>
      </w:r>
      <w:r w:rsidR="00D62FD6" w:rsidRPr="00E635F2">
        <w:rPr>
          <w:color w:val="000000"/>
        </w:rPr>
        <w:t>Combined with the observed TEER increase, these results confirm the successful recreation of a functional BBB-like barrier within the microdevices.</w:t>
      </w:r>
    </w:p>
    <w:p w14:paraId="00000022" w14:textId="3D266597" w:rsidR="00C314E0" w:rsidRPr="00E635F2" w:rsidRDefault="003D595D">
      <w:pPr>
        <w:pBdr>
          <w:top w:val="nil"/>
          <w:left w:val="nil"/>
          <w:bottom w:val="nil"/>
          <w:right w:val="nil"/>
          <w:between w:val="nil"/>
        </w:pBdr>
        <w:spacing w:line="276" w:lineRule="auto"/>
        <w:jc w:val="both"/>
        <w:rPr>
          <w:color w:val="000000"/>
        </w:rPr>
      </w:pPr>
      <w:r w:rsidRPr="00E635F2">
        <w:rPr>
          <w:color w:val="000000"/>
        </w:rPr>
        <w:t xml:space="preserve">We also tested the ability of our BBB model to restrict molecular </w:t>
      </w:r>
      <w:r w:rsidR="00444606" w:rsidRPr="00E635F2">
        <w:rPr>
          <w:color w:val="000000"/>
        </w:rPr>
        <w:t xml:space="preserve">diffusion </w:t>
      </w:r>
      <w:r w:rsidRPr="00E635F2">
        <w:rPr>
          <w:color w:val="000000"/>
        </w:rPr>
        <w:t xml:space="preserve">using FITC-conjugated </w:t>
      </w:r>
      <w:proofErr w:type="spellStart"/>
      <w:r w:rsidRPr="00E635F2">
        <w:rPr>
          <w:color w:val="000000"/>
        </w:rPr>
        <w:t>dextrans</w:t>
      </w:r>
      <w:proofErr w:type="spellEnd"/>
      <w:r w:rsidRPr="00E635F2">
        <w:rPr>
          <w:color w:val="000000"/>
        </w:rPr>
        <w:t xml:space="preserve"> in a permeability assay. </w:t>
      </w:r>
      <w:proofErr w:type="spellStart"/>
      <w:r w:rsidRPr="00E635F2">
        <w:rPr>
          <w:color w:val="000000"/>
        </w:rPr>
        <w:t>Dextrans</w:t>
      </w:r>
      <w:proofErr w:type="spellEnd"/>
      <w:r w:rsidRPr="00E635F2">
        <w:rPr>
          <w:color w:val="000000"/>
        </w:rPr>
        <w:t xml:space="preserve"> of different molecular weights (40, 70, and 150 </w:t>
      </w:r>
      <w:proofErr w:type="spellStart"/>
      <w:r w:rsidRPr="00E635F2">
        <w:rPr>
          <w:color w:val="000000"/>
        </w:rPr>
        <w:t>kDa</w:t>
      </w:r>
      <w:proofErr w:type="spellEnd"/>
      <w:r w:rsidRPr="00E635F2">
        <w:rPr>
          <w:color w:val="000000"/>
        </w:rPr>
        <w:t>) are perfused through the apical (blood</w:t>
      </w:r>
      <w:r w:rsidR="008D518B" w:rsidRPr="00E635F2">
        <w:rPr>
          <w:color w:val="000000"/>
        </w:rPr>
        <w:t xml:space="preserve"> channel</w:t>
      </w:r>
      <w:r w:rsidRPr="00E635F2">
        <w:rPr>
          <w:color w:val="000000"/>
        </w:rPr>
        <w:t>) side of the device at a flow rate of 5 µL/min. Fluorescence intensity is monitored in the tumor area across the three microwells using a</w:t>
      </w:r>
      <w:r w:rsidR="00444606" w:rsidRPr="00E635F2">
        <w:rPr>
          <w:color w:val="000000"/>
        </w:rPr>
        <w:t xml:space="preserve"> fluorescence microscope with a</w:t>
      </w:r>
      <w:r w:rsidRPr="00E635F2">
        <w:rPr>
          <w:color w:val="000000"/>
        </w:rPr>
        <w:t xml:space="preserve"> </w:t>
      </w:r>
      <w:r w:rsidR="00444606" w:rsidRPr="00E635F2">
        <w:rPr>
          <w:color w:val="000000"/>
        </w:rPr>
        <w:t>488</w:t>
      </w:r>
      <w:r w:rsidR="00D93B2B" w:rsidRPr="00E635F2">
        <w:rPr>
          <w:color w:val="000000"/>
        </w:rPr>
        <w:t xml:space="preserve"> </w:t>
      </w:r>
      <w:r w:rsidR="00444606" w:rsidRPr="00E635F2">
        <w:rPr>
          <w:color w:val="000000"/>
        </w:rPr>
        <w:t xml:space="preserve">nm </w:t>
      </w:r>
      <w:r w:rsidRPr="00E635F2">
        <w:rPr>
          <w:color w:val="000000"/>
        </w:rPr>
        <w:t>filter, and mean intensity values from specific regions of interest (ROI) are quantified with ImageJ</w:t>
      </w:r>
      <w:r w:rsidR="00444606" w:rsidRPr="00E635F2">
        <w:rPr>
          <w:color w:val="000000"/>
        </w:rPr>
        <w:t xml:space="preserve"> software</w:t>
      </w:r>
      <w:r w:rsidRPr="00E635F2">
        <w:rPr>
          <w:color w:val="000000"/>
        </w:rPr>
        <w:t>. To address the role of each cell type in determining the physiological compliance of the barrier after 7 days of perfused culture, we tested the permeability in</w:t>
      </w:r>
      <w:r w:rsidR="00243E1F" w:rsidRPr="00E635F2">
        <w:rPr>
          <w:color w:val="000000"/>
        </w:rPr>
        <w:t xml:space="preserve">: </w:t>
      </w:r>
      <w:proofErr w:type="spellStart"/>
      <w:r w:rsidR="00243E1F" w:rsidRPr="00E635F2">
        <w:rPr>
          <w:i/>
          <w:iCs/>
          <w:color w:val="000000"/>
        </w:rPr>
        <w:t>i</w:t>
      </w:r>
      <w:proofErr w:type="spellEnd"/>
      <w:r w:rsidR="00243E1F" w:rsidRPr="00E635F2">
        <w:rPr>
          <w:i/>
          <w:iCs/>
          <w:color w:val="000000"/>
        </w:rPr>
        <w:t>.</w:t>
      </w:r>
      <w:r w:rsidRPr="00E635F2">
        <w:rPr>
          <w:color w:val="000000"/>
        </w:rPr>
        <w:t xml:space="preserve"> control devices without cells, </w:t>
      </w:r>
      <w:r w:rsidR="00243E1F" w:rsidRPr="00E635F2">
        <w:rPr>
          <w:i/>
          <w:iCs/>
          <w:color w:val="000000"/>
        </w:rPr>
        <w:t xml:space="preserve">ii. </w:t>
      </w:r>
      <w:r w:rsidRPr="00E635F2">
        <w:rPr>
          <w:color w:val="000000"/>
        </w:rPr>
        <w:t>devices</w:t>
      </w:r>
      <w:r w:rsidR="005A66F8" w:rsidRPr="00E635F2">
        <w:rPr>
          <w:color w:val="000000"/>
        </w:rPr>
        <w:t xml:space="preserve"> seeded</w:t>
      </w:r>
      <w:r w:rsidRPr="00E635F2">
        <w:rPr>
          <w:color w:val="000000"/>
        </w:rPr>
        <w:t xml:space="preserve"> with a HUVEC</w:t>
      </w:r>
      <w:r w:rsidR="008D518B" w:rsidRPr="00E635F2">
        <w:rPr>
          <w:color w:val="000000"/>
        </w:rPr>
        <w:t>s</w:t>
      </w:r>
      <w:r w:rsidRPr="00E635F2">
        <w:rPr>
          <w:color w:val="000000"/>
        </w:rPr>
        <w:t xml:space="preserve"> monolayer</w:t>
      </w:r>
      <w:r w:rsidR="005A66F8" w:rsidRPr="00E635F2">
        <w:rPr>
          <w:color w:val="000000"/>
        </w:rPr>
        <w:t xml:space="preserve"> only</w:t>
      </w:r>
      <w:r w:rsidRPr="00E635F2">
        <w:rPr>
          <w:color w:val="000000"/>
        </w:rPr>
        <w:t xml:space="preserve">, and </w:t>
      </w:r>
      <w:r w:rsidR="00243E1F" w:rsidRPr="00E635F2">
        <w:rPr>
          <w:i/>
          <w:iCs/>
          <w:color w:val="000000"/>
        </w:rPr>
        <w:t xml:space="preserve">iii. </w:t>
      </w:r>
      <w:r w:rsidRPr="00E635F2">
        <w:rPr>
          <w:color w:val="000000"/>
        </w:rPr>
        <w:t xml:space="preserve">in the complete BBB model incorporating HUVECs, astrocytes, and pericytes. Representative </w:t>
      </w:r>
      <w:sdt>
        <w:sdtPr>
          <w:tag w:val="goog_rdk_6"/>
          <w:id w:val="175709695"/>
        </w:sdtPr>
        <w:sdtContent/>
      </w:sdt>
      <w:r w:rsidRPr="00E635F2">
        <w:rPr>
          <w:color w:val="000000"/>
        </w:rPr>
        <w:t xml:space="preserve">permeability values are shown in </w:t>
      </w:r>
      <w:r w:rsidR="0064562E" w:rsidRPr="00E635F2">
        <w:rPr>
          <w:b/>
          <w:bCs/>
          <w:color w:val="000000"/>
        </w:rPr>
        <w:t xml:space="preserve">Figure </w:t>
      </w:r>
      <w:r w:rsidR="008F3C1C" w:rsidRPr="00E635F2">
        <w:rPr>
          <w:b/>
          <w:bCs/>
          <w:color w:val="000000"/>
        </w:rPr>
        <w:t xml:space="preserve">1.D </w:t>
      </w:r>
      <w:r w:rsidRPr="00E635F2">
        <w:rPr>
          <w:color w:val="000000"/>
        </w:rPr>
        <w:t xml:space="preserve">and demonstrate a clear correlation between dextran molecular weight and </w:t>
      </w:r>
      <w:r w:rsidR="005A66F8" w:rsidRPr="00E635F2">
        <w:rPr>
          <w:color w:val="000000"/>
        </w:rPr>
        <w:t xml:space="preserve">diffusion </w:t>
      </w:r>
      <w:r w:rsidRPr="00E635F2">
        <w:rPr>
          <w:color w:val="000000"/>
        </w:rPr>
        <w:t xml:space="preserve">resistance. </w:t>
      </w:r>
      <w:proofErr w:type="spellStart"/>
      <w:r w:rsidRPr="00E635F2">
        <w:rPr>
          <w:color w:val="000000"/>
        </w:rPr>
        <w:t>Dextrans</w:t>
      </w:r>
      <w:proofErr w:type="spellEnd"/>
      <w:r w:rsidRPr="00E635F2">
        <w:rPr>
          <w:color w:val="000000"/>
        </w:rPr>
        <w:t xml:space="preserve"> with higher molecular weights (70 and 150 </w:t>
      </w:r>
      <w:proofErr w:type="spellStart"/>
      <w:r w:rsidRPr="00E635F2">
        <w:rPr>
          <w:color w:val="000000"/>
        </w:rPr>
        <w:t>kDa</w:t>
      </w:r>
      <w:proofErr w:type="spellEnd"/>
      <w:r w:rsidRPr="00E635F2">
        <w:rPr>
          <w:color w:val="000000"/>
        </w:rPr>
        <w:t>) exhibit slower accumulation in the microwells across all experimental conditions, indicating increased difficulty in crossing the barrier. Control devices without cells show the highest permeability. In contrast, devices with a HUVEC monolayer exhibit significantly reduced permeability,</w:t>
      </w:r>
      <w:r w:rsidR="00F55E1C">
        <w:rPr>
          <w:color w:val="000000"/>
        </w:rPr>
        <w:t xml:space="preserve"> which</w:t>
      </w:r>
      <w:r w:rsidRPr="00E635F2">
        <w:rPr>
          <w:color w:val="000000"/>
        </w:rPr>
        <w:t xml:space="preserve"> further decreas</w:t>
      </w:r>
      <w:r w:rsidR="00F55E1C">
        <w:rPr>
          <w:color w:val="000000"/>
        </w:rPr>
        <w:t>es</w:t>
      </w:r>
      <w:r w:rsidRPr="00E635F2">
        <w:rPr>
          <w:color w:val="000000"/>
        </w:rPr>
        <w:t xml:space="preserve"> with the addition of astrocytes and pericytes. </w:t>
      </w:r>
      <w:r w:rsidR="004E1DCE" w:rsidRPr="00E635F2">
        <w:rPr>
          <w:color w:val="000000"/>
        </w:rPr>
        <w:t>T</w:t>
      </w:r>
      <w:r w:rsidRPr="00E635F2">
        <w:rPr>
          <w:color w:val="000000"/>
        </w:rPr>
        <w:t xml:space="preserve">hese findings </w:t>
      </w:r>
      <w:r w:rsidR="004E1DCE" w:rsidRPr="00E635F2">
        <w:rPr>
          <w:color w:val="000000"/>
        </w:rPr>
        <w:t xml:space="preserve">importantly </w:t>
      </w:r>
      <w:r w:rsidRPr="00E635F2">
        <w:rPr>
          <w:color w:val="000000"/>
        </w:rPr>
        <w:t xml:space="preserve">confirm that the incorporation of astrocytes and pericytes enhances the barrier's selectivity, </w:t>
      </w:r>
      <w:r w:rsidR="00FC2B58" w:rsidRPr="00E635F2">
        <w:rPr>
          <w:color w:val="000000"/>
        </w:rPr>
        <w:t xml:space="preserve">more </w:t>
      </w:r>
      <w:r w:rsidRPr="00E635F2">
        <w:rPr>
          <w:color w:val="000000"/>
        </w:rPr>
        <w:t xml:space="preserve">closely mimicking the tight junctions and restrictive properties of the </w:t>
      </w:r>
      <w:r w:rsidRPr="00E635F2">
        <w:rPr>
          <w:i/>
          <w:iCs/>
          <w:color w:val="000000"/>
        </w:rPr>
        <w:t>in vivo</w:t>
      </w:r>
      <w:r w:rsidRPr="00E635F2">
        <w:rPr>
          <w:color w:val="000000"/>
        </w:rPr>
        <w:t xml:space="preserve"> BBB. The observed decrease in permeability aligns with the expected physiological role of these cell types in regulating molecular transport and maintaining BBB integrity. </w:t>
      </w:r>
    </w:p>
    <w:p w14:paraId="31E83E24" w14:textId="0B51CB48" w:rsidR="00185B3E" w:rsidRPr="00E635F2" w:rsidRDefault="00BD7069">
      <w:pPr>
        <w:pBdr>
          <w:top w:val="nil"/>
          <w:left w:val="nil"/>
          <w:bottom w:val="nil"/>
          <w:right w:val="nil"/>
          <w:between w:val="nil"/>
        </w:pBdr>
        <w:spacing w:line="276" w:lineRule="auto"/>
        <w:jc w:val="both"/>
        <w:rPr>
          <w:color w:val="000000"/>
        </w:rPr>
      </w:pPr>
      <w:r w:rsidRPr="00E635F2">
        <w:rPr>
          <w:noProof/>
          <w:color w:val="000000"/>
          <w:lang w:eastAsia="en-US"/>
        </w:rPr>
        <w:lastRenderedPageBreak/>
        <w:drawing>
          <wp:inline distT="0" distB="0" distL="0" distR="0" wp14:anchorId="7DF84755" wp14:editId="7928300E">
            <wp:extent cx="6120130" cy="5336499"/>
            <wp:effectExtent l="0" t="0" r="1270" b="0"/>
            <wp:docPr id="1328966973" name="Picture 7" descr="A collage of images and diagr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966973" name="Picture 7" descr="A collage of images and diagrams&#10;&#10;AI-generated content may be incorrect."/>
                    <pic:cNvPicPr/>
                  </pic:nvPicPr>
                  <pic:blipFill rotWithShape="1">
                    <a:blip r:embed="rId11" cstate="print">
                      <a:extLst>
                        <a:ext uri="{28A0092B-C50C-407E-A947-70E740481C1C}">
                          <a14:useLocalDpi xmlns:a14="http://schemas.microsoft.com/office/drawing/2010/main" val="0"/>
                        </a:ext>
                      </a:extLst>
                    </a:blip>
                    <a:srcRect b="1141"/>
                    <a:stretch/>
                  </pic:blipFill>
                  <pic:spPr bwMode="auto">
                    <a:xfrm>
                      <a:off x="0" y="0"/>
                      <a:ext cx="6120130" cy="5336499"/>
                    </a:xfrm>
                    <a:prstGeom prst="rect">
                      <a:avLst/>
                    </a:prstGeom>
                    <a:ln>
                      <a:noFill/>
                    </a:ln>
                    <a:extLst>
                      <a:ext uri="{53640926-AAD7-44D8-BBD7-CCE9431645EC}">
                        <a14:shadowObscured xmlns:a14="http://schemas.microsoft.com/office/drawing/2010/main"/>
                      </a:ext>
                    </a:extLst>
                  </pic:spPr>
                </pic:pic>
              </a:graphicData>
            </a:graphic>
          </wp:inline>
        </w:drawing>
      </w:r>
    </w:p>
    <w:p w14:paraId="0BFA7C2A" w14:textId="68DD61A7" w:rsidR="00BD7069" w:rsidRPr="00E635F2" w:rsidRDefault="00BD7069" w:rsidP="00BD7069">
      <w:pPr>
        <w:pBdr>
          <w:top w:val="nil"/>
          <w:left w:val="nil"/>
          <w:bottom w:val="nil"/>
          <w:right w:val="nil"/>
          <w:between w:val="nil"/>
        </w:pBdr>
        <w:jc w:val="both"/>
        <w:rPr>
          <w:color w:val="000000"/>
          <w:sz w:val="20"/>
          <w:szCs w:val="20"/>
        </w:rPr>
      </w:pPr>
      <w:r w:rsidRPr="00E635F2">
        <w:rPr>
          <w:b/>
          <w:bCs/>
          <w:i/>
          <w:iCs/>
          <w:color w:val="000000"/>
          <w:sz w:val="20"/>
          <w:szCs w:val="20"/>
        </w:rPr>
        <w:t>Figure 1.</w:t>
      </w:r>
      <w:r w:rsidRPr="00E635F2">
        <w:rPr>
          <w:color w:val="000000"/>
          <w:sz w:val="20"/>
          <w:szCs w:val="20"/>
        </w:rPr>
        <w:t xml:space="preserve"> </w:t>
      </w:r>
      <w:r w:rsidRPr="00E635F2">
        <w:rPr>
          <w:b/>
          <w:bCs/>
          <w:color w:val="000000"/>
          <w:sz w:val="20"/>
          <w:szCs w:val="20"/>
        </w:rPr>
        <w:t>Microfluidic BBB-on-chip design and validation. A.</w:t>
      </w:r>
      <w:r w:rsidRPr="00E635F2">
        <w:rPr>
          <w:color w:val="000000"/>
          <w:sz w:val="20"/>
          <w:szCs w:val="20"/>
        </w:rPr>
        <w:t xml:space="preserve"> Schematic representation of the BBB-on-chip, seeded with endothelial cells on the blood side and pericytes and astrocytes on the brain side, equipped with three microwells for 3D glioblastoma spheroid culture</w:t>
      </w:r>
      <w:r w:rsidR="00F55E1C">
        <w:rPr>
          <w:color w:val="000000"/>
          <w:sz w:val="20"/>
          <w:szCs w:val="20"/>
        </w:rPr>
        <w:t xml:space="preserve"> (glioblastoma spheroids area)</w:t>
      </w:r>
      <w:r w:rsidRPr="00E635F2">
        <w:rPr>
          <w:color w:val="000000"/>
          <w:sz w:val="20"/>
          <w:szCs w:val="20"/>
        </w:rPr>
        <w:t xml:space="preserve">. </w:t>
      </w:r>
      <w:r w:rsidRPr="00E635F2">
        <w:rPr>
          <w:b/>
          <w:bCs/>
          <w:color w:val="000000"/>
          <w:sz w:val="20"/>
          <w:szCs w:val="20"/>
        </w:rPr>
        <w:t>B.</w:t>
      </w:r>
      <w:r w:rsidRPr="00E635F2">
        <w:rPr>
          <w:color w:val="000000"/>
          <w:sz w:val="20"/>
          <w:szCs w:val="20"/>
        </w:rPr>
        <w:t xml:space="preserve"> Photograph of the assembled BBB-on-chip showing the upper channel (yellow) mimicking the vascular compartment and main perfusion conduit, and the lower channels (red) leading to the tumor compartment (scale bar = 2 cm). </w:t>
      </w:r>
      <w:r w:rsidRPr="00E635F2">
        <w:rPr>
          <w:b/>
          <w:bCs/>
          <w:color w:val="000000"/>
          <w:sz w:val="20"/>
          <w:szCs w:val="20"/>
        </w:rPr>
        <w:t>C.</w:t>
      </w:r>
      <w:r w:rsidRPr="00E635F2">
        <w:rPr>
          <w:color w:val="000000"/>
          <w:sz w:val="20"/>
          <w:szCs w:val="20"/>
        </w:rPr>
        <w:t xml:space="preserve"> </w:t>
      </w:r>
      <w:proofErr w:type="spellStart"/>
      <w:r w:rsidRPr="00E635F2">
        <w:rPr>
          <w:color w:val="000000"/>
          <w:sz w:val="20"/>
          <w:szCs w:val="20"/>
        </w:rPr>
        <w:t>Transendothelial</w:t>
      </w:r>
      <w:proofErr w:type="spellEnd"/>
      <w:r w:rsidRPr="00E635F2">
        <w:rPr>
          <w:color w:val="000000"/>
          <w:sz w:val="20"/>
          <w:szCs w:val="20"/>
        </w:rPr>
        <w:t xml:space="preserve"> electrical resistance (TEER) measurements recorded daily across membrane interposed between the upper and lower channels and supporting the BBB. </w:t>
      </w:r>
      <w:r w:rsidRPr="00E635F2">
        <w:rPr>
          <w:b/>
          <w:bCs/>
          <w:color w:val="000000"/>
          <w:sz w:val="20"/>
          <w:szCs w:val="20"/>
        </w:rPr>
        <w:t>D.</w:t>
      </w:r>
      <w:r w:rsidRPr="00E635F2">
        <w:rPr>
          <w:color w:val="000000"/>
          <w:sz w:val="20"/>
          <w:szCs w:val="20"/>
        </w:rPr>
        <w:t xml:space="preserve"> Permeability coefficients calculated from the diffusion of 40, 70, and 150 </w:t>
      </w:r>
      <w:proofErr w:type="spellStart"/>
      <w:r w:rsidRPr="00E635F2">
        <w:rPr>
          <w:color w:val="000000"/>
          <w:sz w:val="20"/>
          <w:szCs w:val="20"/>
        </w:rPr>
        <w:t>kDa</w:t>
      </w:r>
      <w:proofErr w:type="spellEnd"/>
      <w:r w:rsidRPr="00E635F2">
        <w:rPr>
          <w:color w:val="000000"/>
          <w:sz w:val="20"/>
          <w:szCs w:val="20"/>
        </w:rPr>
        <w:t xml:space="preserve"> FITC-</w:t>
      </w:r>
      <w:proofErr w:type="spellStart"/>
      <w:r w:rsidRPr="00E635F2">
        <w:rPr>
          <w:color w:val="000000"/>
          <w:sz w:val="20"/>
          <w:szCs w:val="20"/>
        </w:rPr>
        <w:t>dextrans</w:t>
      </w:r>
      <w:proofErr w:type="spellEnd"/>
      <w:r w:rsidRPr="00E635F2">
        <w:rPr>
          <w:color w:val="000000"/>
          <w:sz w:val="20"/>
          <w:szCs w:val="20"/>
        </w:rPr>
        <w:t xml:space="preserve"> through the assembled BBB-on-chip in the following conditions: </w:t>
      </w:r>
      <w:proofErr w:type="spellStart"/>
      <w:r w:rsidRPr="00E635F2">
        <w:rPr>
          <w:color w:val="000000"/>
          <w:sz w:val="20"/>
          <w:szCs w:val="20"/>
        </w:rPr>
        <w:t>i</w:t>
      </w:r>
      <w:proofErr w:type="spellEnd"/>
      <w:r w:rsidRPr="00E635F2">
        <w:rPr>
          <w:color w:val="000000"/>
          <w:sz w:val="20"/>
          <w:szCs w:val="20"/>
        </w:rPr>
        <w:t xml:space="preserve">. Control (membrane without cells), ii. Blood side (membrane + HUVECs endothelial monolayer), and iii. BBB (membrane with the three-culture of HUVECs on the blood side and pericytes and astrocytes on the brain side). </w:t>
      </w:r>
      <w:r w:rsidRPr="00E635F2">
        <w:rPr>
          <w:b/>
          <w:bCs/>
          <w:color w:val="000000"/>
          <w:sz w:val="20"/>
          <w:szCs w:val="20"/>
        </w:rPr>
        <w:t>E</w:t>
      </w:r>
      <w:r w:rsidRPr="00E635F2">
        <w:rPr>
          <w:color w:val="000000"/>
          <w:sz w:val="20"/>
          <w:szCs w:val="20"/>
        </w:rPr>
        <w:t xml:space="preserve">. ZO-1 and CD31 (green) are expressed on the blood-side compartment, confirming the formation of a functional endothelial barrier. GFAP (magenta) is localized on the brain-side compartment, indicating proper astrocyte distribution. DAPI staining is shown only for the blood-side images, highlighting nuclei of endothelial cells. The merged image illustrates the compartmentalized organization of the BBB model, with distinct localization of endothelial and astrocytic markers, supporting the structural and cellular integrity of the reconstructed BBB. Scale bar = 50 µm. Values are expressed as </w:t>
      </w:r>
      <w:proofErr w:type="spellStart"/>
      <w:r w:rsidRPr="00E635F2">
        <w:rPr>
          <w:color w:val="000000"/>
          <w:sz w:val="20"/>
          <w:szCs w:val="20"/>
        </w:rPr>
        <w:t>median±SEM</w:t>
      </w:r>
      <w:proofErr w:type="spellEnd"/>
      <w:r w:rsidRPr="00E635F2">
        <w:rPr>
          <w:color w:val="000000"/>
          <w:sz w:val="20"/>
          <w:szCs w:val="20"/>
        </w:rPr>
        <w:t xml:space="preserve"> from at least 3 independent experiments. *p &lt; 0.05, **p &lt; 0.01 and ***p &lt; 0.001 vs control</w:t>
      </w:r>
      <w:r w:rsidR="006D210A">
        <w:rPr>
          <w:color w:val="000000"/>
          <w:sz w:val="20"/>
          <w:szCs w:val="20"/>
        </w:rPr>
        <w:t xml:space="preserve">. </w:t>
      </w:r>
    </w:p>
    <w:p w14:paraId="00000024" w14:textId="6C16D523" w:rsidR="00C314E0" w:rsidRPr="00E635F2" w:rsidRDefault="00C314E0">
      <w:pPr>
        <w:pBdr>
          <w:top w:val="nil"/>
          <w:left w:val="nil"/>
          <w:bottom w:val="nil"/>
          <w:right w:val="nil"/>
          <w:between w:val="nil"/>
        </w:pBdr>
        <w:spacing w:line="276" w:lineRule="auto"/>
        <w:jc w:val="both"/>
        <w:rPr>
          <w:color w:val="000000"/>
        </w:rPr>
      </w:pPr>
    </w:p>
    <w:p w14:paraId="00000025" w14:textId="6E7064C7" w:rsidR="00C314E0" w:rsidRPr="00E635F2" w:rsidRDefault="00606EAC" w:rsidP="00531170">
      <w:pPr>
        <w:numPr>
          <w:ilvl w:val="1"/>
          <w:numId w:val="1"/>
        </w:numPr>
        <w:pBdr>
          <w:top w:val="nil"/>
          <w:left w:val="nil"/>
          <w:bottom w:val="nil"/>
          <w:right w:val="nil"/>
          <w:between w:val="nil"/>
        </w:pBdr>
        <w:spacing w:before="120" w:after="80"/>
        <w:jc w:val="both"/>
        <w:rPr>
          <w:b/>
          <w:color w:val="000000"/>
        </w:rPr>
      </w:pPr>
      <w:r w:rsidRPr="00E635F2">
        <w:rPr>
          <w:b/>
          <w:color w:val="000000"/>
        </w:rPr>
        <w:t>THP-1 cells transmit oHSV</w:t>
      </w:r>
      <w:r w:rsidR="00BE26E2" w:rsidRPr="00E635F2">
        <w:rPr>
          <w:b/>
          <w:color w:val="000000"/>
        </w:rPr>
        <w:t>-</w:t>
      </w:r>
      <w:r w:rsidRPr="00E635F2">
        <w:rPr>
          <w:b/>
          <w:color w:val="000000"/>
        </w:rPr>
        <w:t xml:space="preserve">1-mCherry </w:t>
      </w:r>
      <w:r w:rsidR="0091333D" w:rsidRPr="00E635F2">
        <w:rPr>
          <w:b/>
          <w:color w:val="000000"/>
        </w:rPr>
        <w:t xml:space="preserve">to </w:t>
      </w:r>
      <w:r w:rsidRPr="00E635F2">
        <w:rPr>
          <w:b/>
          <w:color w:val="000000"/>
        </w:rPr>
        <w:t>U87</w:t>
      </w:r>
      <w:r w:rsidR="00F55E1C">
        <w:rPr>
          <w:b/>
          <w:color w:val="000000"/>
        </w:rPr>
        <w:t>-</w:t>
      </w:r>
      <w:r w:rsidR="00614C02" w:rsidRPr="00E635F2">
        <w:rPr>
          <w:b/>
          <w:color w:val="000000"/>
        </w:rPr>
        <w:t>derived</w:t>
      </w:r>
      <w:r w:rsidR="00F55E1C">
        <w:rPr>
          <w:b/>
          <w:color w:val="000000"/>
        </w:rPr>
        <w:t xml:space="preserve"> </w:t>
      </w:r>
      <w:r w:rsidR="00851EDD" w:rsidRPr="00E635F2">
        <w:rPr>
          <w:b/>
          <w:color w:val="000000"/>
        </w:rPr>
        <w:t>spheroids</w:t>
      </w:r>
      <w:r w:rsidR="0091333D" w:rsidRPr="00E635F2">
        <w:rPr>
          <w:b/>
          <w:color w:val="000000"/>
        </w:rPr>
        <w:t xml:space="preserve">, with infection leading to decreased viability in cancer cells </w:t>
      </w:r>
    </w:p>
    <w:p w14:paraId="00000027" w14:textId="0E81A90F" w:rsidR="00C314E0" w:rsidRPr="00E635F2" w:rsidRDefault="003D595D">
      <w:pPr>
        <w:pBdr>
          <w:top w:val="nil"/>
          <w:left w:val="nil"/>
          <w:bottom w:val="nil"/>
          <w:right w:val="nil"/>
          <w:between w:val="nil"/>
        </w:pBdr>
        <w:spacing w:line="276" w:lineRule="auto"/>
        <w:jc w:val="both"/>
        <w:rPr>
          <w:color w:val="000000"/>
        </w:rPr>
      </w:pPr>
      <w:r w:rsidRPr="00E635F2">
        <w:rPr>
          <w:color w:val="000000"/>
        </w:rPr>
        <w:t>The growth and morphological characteristics of spheroids</w:t>
      </w:r>
      <w:r w:rsidR="0029693F" w:rsidRPr="00E635F2">
        <w:rPr>
          <w:color w:val="000000"/>
        </w:rPr>
        <w:t xml:space="preserve"> derived from human GBM U87 cells (U</w:t>
      </w:r>
      <w:r w:rsidR="00D46438" w:rsidRPr="00E635F2">
        <w:rPr>
          <w:color w:val="000000"/>
        </w:rPr>
        <w:t>-</w:t>
      </w:r>
      <w:r w:rsidR="0029693F" w:rsidRPr="00E635F2">
        <w:rPr>
          <w:color w:val="000000"/>
        </w:rPr>
        <w:t>87 MG, ATCC)</w:t>
      </w:r>
      <w:r w:rsidRPr="00E635F2">
        <w:rPr>
          <w:color w:val="000000"/>
        </w:rPr>
        <w:t xml:space="preserve"> </w:t>
      </w:r>
      <w:r w:rsidR="00F63F0F" w:rsidRPr="00E635F2">
        <w:rPr>
          <w:color w:val="000000"/>
        </w:rPr>
        <w:t>are</w:t>
      </w:r>
      <w:r w:rsidRPr="00E635F2">
        <w:rPr>
          <w:color w:val="000000"/>
        </w:rPr>
        <w:t xml:space="preserve"> monitored over </w:t>
      </w:r>
      <w:r w:rsidR="00C164F6" w:rsidRPr="00E635F2">
        <w:rPr>
          <w:color w:val="000000"/>
        </w:rPr>
        <w:t>the course of</w:t>
      </w:r>
      <w:r w:rsidRPr="00E635F2">
        <w:rPr>
          <w:color w:val="000000"/>
        </w:rPr>
        <w:t xml:space="preserve"> 7</w:t>
      </w:r>
      <w:r w:rsidR="00C164F6" w:rsidRPr="00E635F2">
        <w:rPr>
          <w:color w:val="000000"/>
        </w:rPr>
        <w:t xml:space="preserve"> </w:t>
      </w:r>
      <w:r w:rsidRPr="00E635F2">
        <w:rPr>
          <w:color w:val="000000"/>
        </w:rPr>
        <w:t>day</w:t>
      </w:r>
      <w:r w:rsidR="00C164F6" w:rsidRPr="00E635F2">
        <w:rPr>
          <w:color w:val="000000"/>
        </w:rPr>
        <w:t>s</w:t>
      </w:r>
      <w:r w:rsidRPr="00E635F2">
        <w:rPr>
          <w:color w:val="000000"/>
        </w:rPr>
        <w:t xml:space="preserve">. Brightfield images </w:t>
      </w:r>
      <w:r w:rsidR="00F63F0F" w:rsidRPr="00E635F2">
        <w:rPr>
          <w:color w:val="000000"/>
        </w:rPr>
        <w:t>are</w:t>
      </w:r>
      <w:r w:rsidRPr="00E635F2">
        <w:rPr>
          <w:color w:val="000000"/>
        </w:rPr>
        <w:t xml:space="preserve"> captured with optimal contrast and analyzed using </w:t>
      </w:r>
      <w:proofErr w:type="spellStart"/>
      <w:r w:rsidRPr="00E635F2">
        <w:rPr>
          <w:color w:val="000000"/>
        </w:rPr>
        <w:t>AnaSP</w:t>
      </w:r>
      <w:proofErr w:type="spellEnd"/>
      <w:r w:rsidR="00F80139" w:rsidRPr="00E635F2">
        <w:rPr>
          <w:color w:val="000000"/>
        </w:rPr>
        <w:t xml:space="preserve"> software</w:t>
      </w:r>
      <w:r w:rsidRPr="00E635F2">
        <w:rPr>
          <w:color w:val="000000"/>
        </w:rPr>
        <w:t xml:space="preserve"> to </w:t>
      </w:r>
      <w:r w:rsidR="005A7EC0" w:rsidRPr="00E635F2">
        <w:rPr>
          <w:color w:val="000000"/>
        </w:rPr>
        <w:t>quantify</w:t>
      </w:r>
      <w:r w:rsidRPr="00E635F2">
        <w:rPr>
          <w:color w:val="000000"/>
        </w:rPr>
        <w:t xml:space="preserve"> </w:t>
      </w:r>
      <w:r w:rsidR="005A7EC0" w:rsidRPr="00E635F2">
        <w:rPr>
          <w:color w:val="000000"/>
        </w:rPr>
        <w:t xml:space="preserve">parameters such as equivalent diameter, </w:t>
      </w:r>
      <w:r w:rsidR="005A7EC0" w:rsidRPr="00E635F2">
        <w:rPr>
          <w:color w:val="000000"/>
        </w:rPr>
        <w:lastRenderedPageBreak/>
        <w:t>solidity, compactness and sphericity index (SI)</w:t>
      </w:r>
      <w:r w:rsidRPr="00E635F2">
        <w:rPr>
          <w:color w:val="000000"/>
        </w:rPr>
        <w:t xml:space="preserve">. </w:t>
      </w:r>
      <w:r w:rsidR="00627466" w:rsidRPr="00E635F2">
        <w:rPr>
          <w:color w:val="000000"/>
        </w:rPr>
        <w:t>T</w:t>
      </w:r>
      <w:r w:rsidRPr="00E635F2">
        <w:rPr>
          <w:color w:val="000000"/>
        </w:rPr>
        <w:t xml:space="preserve">he equivalent diameter of the spheroids increases from approximately 200 </w:t>
      </w:r>
      <w:proofErr w:type="spellStart"/>
      <w:r w:rsidRPr="00E635F2">
        <w:rPr>
          <w:color w:val="000000"/>
        </w:rPr>
        <w:t>μm</w:t>
      </w:r>
      <w:proofErr w:type="spellEnd"/>
      <w:r w:rsidRPr="00E635F2">
        <w:rPr>
          <w:color w:val="000000"/>
        </w:rPr>
        <w:t xml:space="preserve"> on day 2 to 700 </w:t>
      </w:r>
      <w:proofErr w:type="spellStart"/>
      <w:r w:rsidRPr="00E635F2">
        <w:rPr>
          <w:color w:val="000000"/>
        </w:rPr>
        <w:t>μm</w:t>
      </w:r>
      <w:proofErr w:type="spellEnd"/>
      <w:r w:rsidRPr="00E635F2">
        <w:rPr>
          <w:color w:val="000000"/>
        </w:rPr>
        <w:t xml:space="preserve"> on day 7, with some </w:t>
      </w:r>
      <w:r w:rsidR="00F63F0F" w:rsidRPr="00E635F2">
        <w:rPr>
          <w:color w:val="000000"/>
        </w:rPr>
        <w:t>growing</w:t>
      </w:r>
      <w:r w:rsidRPr="00E635F2">
        <w:rPr>
          <w:color w:val="000000"/>
        </w:rPr>
        <w:t xml:space="preserve"> up to 800 </w:t>
      </w:r>
      <w:proofErr w:type="spellStart"/>
      <w:r w:rsidRPr="00E635F2">
        <w:rPr>
          <w:color w:val="000000"/>
        </w:rPr>
        <w:t>μm</w:t>
      </w:r>
      <w:proofErr w:type="spellEnd"/>
      <w:r w:rsidR="00627466" w:rsidRPr="00E635F2">
        <w:rPr>
          <w:color w:val="000000"/>
        </w:rPr>
        <w:t xml:space="preserve"> (</w:t>
      </w:r>
      <w:r w:rsidR="00627466" w:rsidRPr="00E635F2">
        <w:rPr>
          <w:b/>
          <w:bCs/>
          <w:color w:val="000000"/>
        </w:rPr>
        <w:t>Figure 2.A</w:t>
      </w:r>
      <w:r w:rsidR="00627466" w:rsidRPr="00E635F2">
        <w:rPr>
          <w:color w:val="000000"/>
        </w:rPr>
        <w:t>)</w:t>
      </w:r>
      <w:r w:rsidRPr="00E635F2">
        <w:rPr>
          <w:color w:val="000000"/>
        </w:rPr>
        <w:t xml:space="preserve">. Solidity also increases over time, </w:t>
      </w:r>
      <w:r w:rsidR="000B46C5" w:rsidRPr="00E635F2">
        <w:rPr>
          <w:color w:val="000000"/>
        </w:rPr>
        <w:t xml:space="preserve">correlating with </w:t>
      </w:r>
      <w:r w:rsidRPr="00E635F2">
        <w:rPr>
          <w:color w:val="000000"/>
        </w:rPr>
        <w:t xml:space="preserve">shape regularity, while compactness decreases due to growth-related effects. The </w:t>
      </w:r>
      <w:r w:rsidR="000B46C5" w:rsidRPr="00E635F2">
        <w:rPr>
          <w:color w:val="000000"/>
        </w:rPr>
        <w:t xml:space="preserve">maintenance of a spherical shape is confirmed by a stable SI </w:t>
      </w:r>
      <w:r w:rsidRPr="00E635F2">
        <w:rPr>
          <w:color w:val="000000"/>
        </w:rPr>
        <w:t>around 1 throughout the observation perio</w:t>
      </w:r>
      <w:r w:rsidR="000B46C5" w:rsidRPr="00E635F2">
        <w:rPr>
          <w:color w:val="000000"/>
        </w:rPr>
        <w:t>d</w:t>
      </w:r>
      <w:r w:rsidRPr="00E635F2">
        <w:rPr>
          <w:color w:val="000000"/>
        </w:rPr>
        <w:t xml:space="preserve">. </w:t>
      </w:r>
      <w:r w:rsidRPr="00E635F2">
        <w:rPr>
          <w:b/>
          <w:bCs/>
          <w:color w:val="000000"/>
        </w:rPr>
        <w:t>Figure 2.B</w:t>
      </w:r>
      <w:r w:rsidRPr="00E635F2">
        <w:rPr>
          <w:color w:val="000000"/>
        </w:rPr>
        <w:t xml:space="preserve"> reports representative images for Phalloidin/DAPI staining and Live/Dead assay at day 7. To </w:t>
      </w:r>
      <w:r w:rsidR="00906FFD" w:rsidRPr="00E635F2">
        <w:rPr>
          <w:color w:val="000000"/>
        </w:rPr>
        <w:t>capture</w:t>
      </w:r>
      <w:r w:rsidRPr="00E635F2">
        <w:rPr>
          <w:color w:val="000000"/>
        </w:rPr>
        <w:t xml:space="preserve"> the 3D structure of the spheroid, sequential images focus on the outer (shell) and inner (core) sections. Phalloidin/DAPI staining shows well-structured actin filaments and organized nuclei, reflecting proper cellular architecture and spatial arrangement within the spheroids. The Live/Dead assay demonstrates </w:t>
      </w:r>
      <w:r w:rsidR="00906FFD" w:rsidRPr="00E635F2">
        <w:rPr>
          <w:color w:val="000000"/>
        </w:rPr>
        <w:t xml:space="preserve">consistent </w:t>
      </w:r>
      <w:r w:rsidRPr="00E635F2">
        <w:rPr>
          <w:color w:val="000000"/>
        </w:rPr>
        <w:t xml:space="preserve">high cell viability. </w:t>
      </w:r>
    </w:p>
    <w:p w14:paraId="49B06C18" w14:textId="2E351E55" w:rsidR="00614C02" w:rsidRPr="00E635F2" w:rsidRDefault="003D595D">
      <w:pPr>
        <w:pBdr>
          <w:top w:val="nil"/>
          <w:left w:val="nil"/>
          <w:bottom w:val="nil"/>
          <w:right w:val="nil"/>
          <w:between w:val="nil"/>
        </w:pBdr>
        <w:spacing w:line="276" w:lineRule="auto"/>
        <w:jc w:val="both"/>
        <w:rPr>
          <w:color w:val="000000"/>
        </w:rPr>
      </w:pPr>
      <w:r w:rsidRPr="00E635F2">
        <w:rPr>
          <w:color w:val="000000"/>
        </w:rPr>
        <w:t xml:space="preserve">To explore the potential use of monocytes as carrier cells for the systemic delivery of </w:t>
      </w:r>
      <w:r w:rsidR="00DE5434">
        <w:rPr>
          <w:color w:val="000000"/>
        </w:rPr>
        <w:t>an HSV-1</w:t>
      </w:r>
      <w:r w:rsidRPr="00E635F2">
        <w:rPr>
          <w:color w:val="000000"/>
        </w:rPr>
        <w:t xml:space="preserve"> based </w:t>
      </w:r>
      <w:r w:rsidR="00DE5434">
        <w:rPr>
          <w:color w:val="000000"/>
        </w:rPr>
        <w:t>OV</w:t>
      </w:r>
      <w:r w:rsidRPr="00E635F2">
        <w:rPr>
          <w:color w:val="000000"/>
        </w:rPr>
        <w:t xml:space="preserve">, we assess the ability of </w:t>
      </w:r>
      <w:r w:rsidR="000743F6" w:rsidRPr="00E635F2">
        <w:rPr>
          <w:color w:val="000000"/>
        </w:rPr>
        <w:t xml:space="preserve">human monocytic </w:t>
      </w:r>
      <w:r w:rsidRPr="00E635F2">
        <w:rPr>
          <w:color w:val="000000"/>
        </w:rPr>
        <w:t>THP-1 cells to transmit oHSV-1</w:t>
      </w:r>
      <w:r w:rsidR="00DE5434">
        <w:rPr>
          <w:color w:val="000000"/>
        </w:rPr>
        <w:t>-mCherry</w:t>
      </w:r>
      <w:r w:rsidRPr="00E635F2">
        <w:rPr>
          <w:color w:val="000000"/>
        </w:rPr>
        <w:t xml:space="preserve"> infection to </w:t>
      </w:r>
      <w:r w:rsidR="00890BA6" w:rsidRPr="00E635F2">
        <w:rPr>
          <w:color w:val="000000"/>
        </w:rPr>
        <w:t>GBM</w:t>
      </w:r>
      <w:r w:rsidRPr="00E635F2">
        <w:rPr>
          <w:color w:val="000000"/>
        </w:rPr>
        <w:t xml:space="preserve"> spheroids in standard </w:t>
      </w:r>
      <w:proofErr w:type="spellStart"/>
      <w:r w:rsidRPr="00E635F2">
        <w:rPr>
          <w:color w:val="000000"/>
        </w:rPr>
        <w:t>multiwell</w:t>
      </w:r>
      <w:proofErr w:type="spellEnd"/>
      <w:r w:rsidRPr="00E635F2">
        <w:rPr>
          <w:color w:val="000000"/>
        </w:rPr>
        <w:t xml:space="preserve"> culture settings.</w:t>
      </w:r>
      <w:r w:rsidR="00686498" w:rsidRPr="00E635F2">
        <w:rPr>
          <w:color w:val="000000"/>
        </w:rPr>
        <w:t xml:space="preserve"> </w:t>
      </w:r>
      <w:r w:rsidRPr="00E635F2">
        <w:rPr>
          <w:color w:val="000000"/>
        </w:rPr>
        <w:t>U87</w:t>
      </w:r>
      <w:r w:rsidR="00627466" w:rsidRPr="00E635F2">
        <w:rPr>
          <w:color w:val="000000"/>
        </w:rPr>
        <w:t>-</w:t>
      </w:r>
      <w:r w:rsidRPr="00E635F2">
        <w:rPr>
          <w:color w:val="000000"/>
        </w:rPr>
        <w:t xml:space="preserve">derived spheroids </w:t>
      </w:r>
      <w:r w:rsidR="00AD6C4E" w:rsidRPr="00E635F2">
        <w:rPr>
          <w:color w:val="000000"/>
        </w:rPr>
        <w:t>are</w:t>
      </w:r>
      <w:r w:rsidRPr="00E635F2">
        <w:rPr>
          <w:color w:val="000000"/>
        </w:rPr>
        <w:t xml:space="preserve"> </w:t>
      </w:r>
      <w:r w:rsidR="00095069" w:rsidRPr="00E635F2">
        <w:rPr>
          <w:color w:val="000000"/>
        </w:rPr>
        <w:t>co-cultured</w:t>
      </w:r>
      <w:r w:rsidRPr="00E635F2">
        <w:rPr>
          <w:color w:val="000000"/>
        </w:rPr>
        <w:t xml:space="preserve"> with </w:t>
      </w:r>
      <w:proofErr w:type="spellStart"/>
      <w:r w:rsidRPr="00E635F2">
        <w:rPr>
          <w:i/>
          <w:iCs/>
          <w:color w:val="000000"/>
        </w:rPr>
        <w:t>i</w:t>
      </w:r>
      <w:proofErr w:type="spellEnd"/>
      <w:r w:rsidRPr="00E635F2">
        <w:rPr>
          <w:i/>
          <w:iCs/>
          <w:color w:val="000000"/>
        </w:rPr>
        <w:t>.</w:t>
      </w:r>
      <w:r w:rsidRPr="00E635F2">
        <w:rPr>
          <w:color w:val="000000"/>
        </w:rPr>
        <w:t xml:space="preserve"> </w:t>
      </w:r>
      <w:r w:rsidR="00B00451" w:rsidRPr="00E635F2">
        <w:rPr>
          <w:color w:val="000000"/>
        </w:rPr>
        <w:t>uninfected</w:t>
      </w:r>
      <w:r w:rsidR="0005490B" w:rsidRPr="00E635F2">
        <w:rPr>
          <w:color w:val="000000"/>
        </w:rPr>
        <w:t xml:space="preserve"> </w:t>
      </w:r>
      <w:r w:rsidRPr="00E635F2">
        <w:rPr>
          <w:color w:val="000000"/>
        </w:rPr>
        <w:t xml:space="preserve">THP-1 cells labeled with </w:t>
      </w:r>
      <w:proofErr w:type="spellStart"/>
      <w:r w:rsidRPr="00E635F2">
        <w:rPr>
          <w:color w:val="000000"/>
        </w:rPr>
        <w:t>CellTracker</w:t>
      </w:r>
      <w:proofErr w:type="spellEnd"/>
      <w:r w:rsidR="009D48CE" w:rsidRPr="00E635F2">
        <w:rPr>
          <w:color w:val="000000"/>
        </w:rPr>
        <w:t>™ Green (</w:t>
      </w:r>
      <w:proofErr w:type="spellStart"/>
      <w:r w:rsidR="009D48CE" w:rsidRPr="00E635F2">
        <w:rPr>
          <w:color w:val="000000"/>
        </w:rPr>
        <w:t>Invitrogen</w:t>
      </w:r>
      <w:r w:rsidR="00970900" w:rsidRPr="00E635F2">
        <w:rPr>
          <w:color w:val="000000"/>
          <w:vertAlign w:val="superscript"/>
        </w:rPr>
        <w:t>TM</w:t>
      </w:r>
      <w:proofErr w:type="spellEnd"/>
      <w:r w:rsidR="00970900" w:rsidRPr="00E635F2">
        <w:rPr>
          <w:color w:val="000000"/>
        </w:rPr>
        <w:t xml:space="preserve">, </w:t>
      </w:r>
      <w:proofErr w:type="spellStart"/>
      <w:r w:rsidR="00970900" w:rsidRPr="00E635F2">
        <w:rPr>
          <w:color w:val="000000"/>
        </w:rPr>
        <w:t>Thermo</w:t>
      </w:r>
      <w:proofErr w:type="spellEnd"/>
      <w:r w:rsidR="00970900" w:rsidRPr="00E635F2">
        <w:rPr>
          <w:color w:val="000000"/>
        </w:rPr>
        <w:t xml:space="preserve"> Fisher Scientific</w:t>
      </w:r>
      <w:r w:rsidR="009D48CE" w:rsidRPr="00E635F2">
        <w:rPr>
          <w:color w:val="000000"/>
        </w:rPr>
        <w:t>)</w:t>
      </w:r>
      <w:r w:rsidRPr="00E635F2">
        <w:rPr>
          <w:color w:val="000000"/>
        </w:rPr>
        <w:t xml:space="preserve">, </w:t>
      </w:r>
      <w:r w:rsidRPr="00E635F2">
        <w:rPr>
          <w:i/>
          <w:iCs/>
          <w:color w:val="000000"/>
        </w:rPr>
        <w:t>ii.</w:t>
      </w:r>
      <w:r w:rsidRPr="00E635F2">
        <w:rPr>
          <w:color w:val="000000"/>
        </w:rPr>
        <w:t xml:space="preserve"> labeled THP-1 infected with oHSV-1</w:t>
      </w:r>
      <w:r w:rsidR="000743F6" w:rsidRPr="00E635F2">
        <w:rPr>
          <w:color w:val="000000"/>
        </w:rPr>
        <w:t>-</w:t>
      </w:r>
      <w:r w:rsidRPr="00E635F2">
        <w:rPr>
          <w:color w:val="000000"/>
        </w:rPr>
        <w:t>mCherry</w:t>
      </w:r>
      <w:r w:rsidR="00A150AC" w:rsidRPr="00E635F2">
        <w:rPr>
          <w:color w:val="000000"/>
        </w:rPr>
        <w:t xml:space="preserve"> </w:t>
      </w:r>
      <w:r w:rsidR="000743F6" w:rsidRPr="00E635F2">
        <w:rPr>
          <w:color w:val="000000"/>
        </w:rPr>
        <w:t>at the multiplicity of infection (</w:t>
      </w:r>
      <w:r w:rsidR="00A150AC" w:rsidRPr="00E635F2">
        <w:rPr>
          <w:color w:val="000000"/>
        </w:rPr>
        <w:t>MOI</w:t>
      </w:r>
      <w:r w:rsidR="000743F6" w:rsidRPr="00E635F2">
        <w:rPr>
          <w:color w:val="000000"/>
        </w:rPr>
        <w:t>)</w:t>
      </w:r>
      <w:r w:rsidR="00A150AC" w:rsidRPr="00E635F2">
        <w:rPr>
          <w:color w:val="000000"/>
        </w:rPr>
        <w:t xml:space="preserve"> </w:t>
      </w:r>
      <w:r w:rsidR="000743F6" w:rsidRPr="00E635F2">
        <w:rPr>
          <w:color w:val="000000"/>
        </w:rPr>
        <w:t>of</w:t>
      </w:r>
      <w:r w:rsidR="00A150AC" w:rsidRPr="00E635F2">
        <w:rPr>
          <w:color w:val="000000"/>
        </w:rPr>
        <w:t xml:space="preserve"> 3</w:t>
      </w:r>
      <w:r w:rsidR="002D561D" w:rsidRPr="00E635F2">
        <w:rPr>
          <w:color w:val="000000"/>
        </w:rPr>
        <w:t xml:space="preserve"> </w:t>
      </w:r>
      <w:r w:rsidR="000743F6" w:rsidRPr="00E635F2">
        <w:rPr>
          <w:color w:val="000000"/>
        </w:rPr>
        <w:t>plaque forming units (</w:t>
      </w:r>
      <w:r w:rsidR="002D561D" w:rsidRPr="00E635F2">
        <w:rPr>
          <w:color w:val="000000"/>
        </w:rPr>
        <w:t>PFU</w:t>
      </w:r>
      <w:r w:rsidR="000743F6" w:rsidRPr="00E635F2">
        <w:rPr>
          <w:color w:val="000000"/>
        </w:rPr>
        <w:t>)</w:t>
      </w:r>
      <w:r w:rsidR="002D561D" w:rsidRPr="00E635F2">
        <w:rPr>
          <w:color w:val="000000"/>
        </w:rPr>
        <w:t>/cell</w:t>
      </w:r>
      <w:r w:rsidRPr="00E635F2">
        <w:rPr>
          <w:color w:val="000000"/>
        </w:rPr>
        <w:t xml:space="preserve">, and </w:t>
      </w:r>
      <w:r w:rsidRPr="00E635F2">
        <w:rPr>
          <w:i/>
          <w:iCs/>
          <w:color w:val="000000"/>
        </w:rPr>
        <w:t>iii.</w:t>
      </w:r>
      <w:r w:rsidRPr="00E635F2">
        <w:rPr>
          <w:color w:val="000000"/>
        </w:rPr>
        <w:t xml:space="preserve"> free oHSV-1</w:t>
      </w:r>
      <w:r w:rsidR="005D3921" w:rsidRPr="00E635F2">
        <w:rPr>
          <w:color w:val="000000"/>
        </w:rPr>
        <w:t>-</w:t>
      </w:r>
      <w:r w:rsidRPr="00E635F2">
        <w:rPr>
          <w:color w:val="000000"/>
        </w:rPr>
        <w:t xml:space="preserve">mCherry. </w:t>
      </w:r>
      <w:r w:rsidR="00AD6C4E" w:rsidRPr="00E635F2">
        <w:rPr>
          <w:color w:val="000000"/>
        </w:rPr>
        <w:t>M</w:t>
      </w:r>
      <w:r w:rsidRPr="00E635F2">
        <w:rPr>
          <w:color w:val="000000"/>
        </w:rPr>
        <w:t>onitor</w:t>
      </w:r>
      <w:r w:rsidR="00AD6C4E" w:rsidRPr="00E635F2">
        <w:rPr>
          <w:color w:val="000000"/>
        </w:rPr>
        <w:t>ing the spheroids</w:t>
      </w:r>
      <w:r w:rsidRPr="00E635F2">
        <w:rPr>
          <w:color w:val="000000"/>
        </w:rPr>
        <w:t xml:space="preserve"> over several days using confocal microscopy </w:t>
      </w:r>
      <w:r w:rsidR="00AD6C4E" w:rsidRPr="00E635F2">
        <w:rPr>
          <w:color w:val="000000"/>
        </w:rPr>
        <w:t>enables</w:t>
      </w:r>
      <w:r w:rsidRPr="00E635F2">
        <w:rPr>
          <w:color w:val="000000"/>
        </w:rPr>
        <w:t xml:space="preserve"> evaluat</w:t>
      </w:r>
      <w:r w:rsidR="00AD6C4E" w:rsidRPr="00E635F2">
        <w:rPr>
          <w:color w:val="000000"/>
        </w:rPr>
        <w:t>ion of</w:t>
      </w:r>
      <w:r w:rsidRPr="00E635F2">
        <w:rPr>
          <w:color w:val="000000"/>
        </w:rPr>
        <w:t xml:space="preserve"> the spreading of the viral infection</w:t>
      </w:r>
      <w:r w:rsidR="00AD6C4E" w:rsidRPr="00E635F2">
        <w:rPr>
          <w:color w:val="000000"/>
        </w:rPr>
        <w:t xml:space="preserve"> via m-</w:t>
      </w:r>
      <w:r w:rsidR="008D588A">
        <w:rPr>
          <w:color w:val="000000"/>
        </w:rPr>
        <w:t>C</w:t>
      </w:r>
      <w:r w:rsidR="00AD6C4E" w:rsidRPr="00E635F2">
        <w:rPr>
          <w:color w:val="000000"/>
        </w:rPr>
        <w:t xml:space="preserve">herry fluorescence </w:t>
      </w:r>
      <w:r w:rsidR="00DE5434">
        <w:rPr>
          <w:color w:val="000000"/>
        </w:rPr>
        <w:t>visualization</w:t>
      </w:r>
      <w:r w:rsidRPr="00E635F2">
        <w:rPr>
          <w:color w:val="000000"/>
        </w:rPr>
        <w:t>.</w:t>
      </w:r>
      <w:r w:rsidR="00614C02" w:rsidRPr="00E635F2">
        <w:rPr>
          <w:color w:val="000000"/>
        </w:rPr>
        <w:t xml:space="preserve"> </w:t>
      </w:r>
      <w:r w:rsidRPr="00E635F2">
        <w:rPr>
          <w:color w:val="000000"/>
        </w:rPr>
        <w:t xml:space="preserve">Images in </w:t>
      </w:r>
      <w:r w:rsidRPr="00E635F2">
        <w:rPr>
          <w:b/>
          <w:bCs/>
          <w:color w:val="000000"/>
        </w:rPr>
        <w:t>Figure 2.C</w:t>
      </w:r>
      <w:r w:rsidRPr="00E635F2">
        <w:rPr>
          <w:color w:val="000000"/>
        </w:rPr>
        <w:t xml:space="preserve"> are representative of GBM spheroids</w:t>
      </w:r>
      <w:r w:rsidR="003D10DF" w:rsidRPr="00E635F2">
        <w:rPr>
          <w:color w:val="000000"/>
        </w:rPr>
        <w:t xml:space="preserve"> at day 7 post</w:t>
      </w:r>
      <w:r w:rsidRPr="00E635F2">
        <w:rPr>
          <w:color w:val="000000"/>
        </w:rPr>
        <w:t xml:space="preserve"> treat</w:t>
      </w:r>
      <w:r w:rsidR="003D10DF" w:rsidRPr="00E635F2">
        <w:rPr>
          <w:color w:val="000000"/>
        </w:rPr>
        <w:t>ment</w:t>
      </w:r>
      <w:r w:rsidRPr="00E635F2">
        <w:rPr>
          <w:color w:val="000000"/>
        </w:rPr>
        <w:t xml:space="preserve"> with THP-1 monocytes labeled </w:t>
      </w:r>
      <w:r w:rsidR="0005490B" w:rsidRPr="00E635F2">
        <w:rPr>
          <w:color w:val="000000"/>
        </w:rPr>
        <w:t xml:space="preserve">in </w:t>
      </w:r>
      <w:r w:rsidRPr="00E635F2">
        <w:rPr>
          <w:color w:val="000000"/>
        </w:rPr>
        <w:t>green and infected with oHSV-1</w:t>
      </w:r>
      <w:r w:rsidR="005D3921" w:rsidRPr="00E635F2">
        <w:rPr>
          <w:color w:val="000000"/>
        </w:rPr>
        <w:t>-</w:t>
      </w:r>
      <w:r w:rsidRPr="00E635F2">
        <w:rPr>
          <w:color w:val="000000"/>
        </w:rPr>
        <w:t xml:space="preserve">mCherry. </w:t>
      </w:r>
      <w:r w:rsidR="003D10DF" w:rsidRPr="00E635F2">
        <w:t>The</w:t>
      </w:r>
      <w:r w:rsidR="00607AFB" w:rsidRPr="00E635F2">
        <w:t xml:space="preserve"> fluorescence images illustrate the</w:t>
      </w:r>
      <w:r w:rsidR="003D10DF" w:rsidRPr="00E635F2">
        <w:t xml:space="preserve"> widespread</w:t>
      </w:r>
      <w:r w:rsidR="00607AFB" w:rsidRPr="00E635F2">
        <w:t xml:space="preserve"> distribution of </w:t>
      </w:r>
      <w:r w:rsidR="00DE5434" w:rsidRPr="00E635F2">
        <w:t xml:space="preserve">oHSV-1-mCherry </w:t>
      </w:r>
      <w:r w:rsidR="00DE5434">
        <w:t>infected cells (</w:t>
      </w:r>
      <w:r w:rsidR="00E6723D" w:rsidRPr="00E635F2">
        <w:t>red</w:t>
      </w:r>
      <w:r w:rsidR="00DE5434">
        <w:t>)</w:t>
      </w:r>
      <w:r w:rsidR="00607AFB" w:rsidRPr="00E635F2">
        <w:t xml:space="preserve"> and </w:t>
      </w:r>
      <w:r w:rsidR="003D10DF" w:rsidRPr="00E635F2">
        <w:t xml:space="preserve">of the carrier </w:t>
      </w:r>
      <w:r w:rsidR="00607AFB" w:rsidRPr="00E635F2">
        <w:t>THP-</w:t>
      </w:r>
      <w:r w:rsidR="00DE5434">
        <w:t>1cells</w:t>
      </w:r>
      <w:r w:rsidR="00607AFB" w:rsidRPr="00E635F2">
        <w:t xml:space="preserve"> (green) within the GBM spheroids.</w:t>
      </w:r>
      <w:r w:rsidR="00614C02" w:rsidRPr="00E635F2">
        <w:rPr>
          <w:color w:val="000000"/>
        </w:rPr>
        <w:t xml:space="preserve"> </w:t>
      </w:r>
      <w:r w:rsidR="00614C02" w:rsidRPr="00E635F2">
        <w:t xml:space="preserve">The same tumor spheroids </w:t>
      </w:r>
      <w:r w:rsidR="00E6723D" w:rsidRPr="00E635F2">
        <w:t>are</w:t>
      </w:r>
      <w:r w:rsidR="00614C02" w:rsidRPr="00E635F2">
        <w:t xml:space="preserve"> subjected to a</w:t>
      </w:r>
      <w:r w:rsidR="00E6723D" w:rsidRPr="00E635F2">
        <w:t xml:space="preserve"> viability</w:t>
      </w:r>
      <w:r w:rsidR="00614C02" w:rsidRPr="00E635F2">
        <w:t xml:space="preserve"> MTT assay to measure</w:t>
      </w:r>
      <w:r w:rsidR="00DE5434">
        <w:t xml:space="preserve"> their viability</w:t>
      </w:r>
      <w:r w:rsidR="00614C02" w:rsidRPr="00E635F2">
        <w:t xml:space="preserve">. </w:t>
      </w:r>
      <w:r w:rsidR="00BF2F33" w:rsidRPr="00E635F2">
        <w:t xml:space="preserve">On </w:t>
      </w:r>
      <w:r w:rsidR="00614C02" w:rsidRPr="00E635F2">
        <w:t>day 7 post-infection (</w:t>
      </w:r>
      <w:r w:rsidR="00614C02" w:rsidRPr="00E635F2">
        <w:rPr>
          <w:b/>
          <w:bCs/>
        </w:rPr>
        <w:t>Figure 2.D</w:t>
      </w:r>
      <w:r w:rsidR="00614C02" w:rsidRPr="00E635F2">
        <w:t xml:space="preserve">), the viability of spheroids </w:t>
      </w:r>
      <w:r w:rsidR="00245BF8" w:rsidRPr="00E635F2">
        <w:t>is</w:t>
      </w:r>
      <w:r w:rsidR="00614C02" w:rsidRPr="00E635F2">
        <w:t xml:space="preserve"> </w:t>
      </w:r>
      <w:r w:rsidR="0039460B" w:rsidRPr="00E635F2">
        <w:t xml:space="preserve">significantly reduced both after infection with the free virus and </w:t>
      </w:r>
      <w:r w:rsidR="00C219F4">
        <w:t>after incubation with</w:t>
      </w:r>
      <w:r w:rsidR="0039460B" w:rsidRPr="00E635F2">
        <w:t xml:space="preserve"> </w:t>
      </w:r>
      <w:r w:rsidR="00C219F4" w:rsidRPr="00E635F2">
        <w:t xml:space="preserve">oHSV-1-mCherry </w:t>
      </w:r>
      <w:r w:rsidR="00C219F4">
        <w:t xml:space="preserve">infected </w:t>
      </w:r>
      <w:r w:rsidR="0039460B" w:rsidRPr="00E635F2">
        <w:t>THP-1 cells</w:t>
      </w:r>
      <w:r w:rsidR="00537163" w:rsidRPr="00E635F2">
        <w:t>,</w:t>
      </w:r>
      <w:r w:rsidR="00C219F4">
        <w:t xml:space="preserve"> indicating an active replication of the virus in cancer cells, independently from the way of administration</w:t>
      </w:r>
      <w:r w:rsidR="00614C02" w:rsidRPr="00E635F2">
        <w:t>.</w:t>
      </w:r>
      <w:r w:rsidR="00C219F4">
        <w:t xml:space="preserve"> </w:t>
      </w:r>
      <w:r w:rsidR="00F55E1C">
        <w:t>Overall,</w:t>
      </w:r>
      <w:r w:rsidR="00C219F4">
        <w:t xml:space="preserve"> these findings support the feasibility of using monocytes as carrier cells for the delivery of oHSV-1 to GBM cells.</w:t>
      </w:r>
    </w:p>
    <w:p w14:paraId="6C8DD2C1" w14:textId="4EB3AA66" w:rsidR="006D210A" w:rsidRPr="006D210A" w:rsidRDefault="006D210A">
      <w:pPr>
        <w:pBdr>
          <w:top w:val="nil"/>
          <w:left w:val="nil"/>
          <w:bottom w:val="nil"/>
          <w:right w:val="nil"/>
          <w:between w:val="nil"/>
        </w:pBdr>
        <w:spacing w:line="276" w:lineRule="auto"/>
        <w:jc w:val="both"/>
        <w:rPr>
          <w:color w:val="000000"/>
        </w:rPr>
      </w:pPr>
      <w:r>
        <w:rPr>
          <w:noProof/>
          <w:color w:val="000000"/>
        </w:rPr>
        <w:drawing>
          <wp:anchor distT="0" distB="0" distL="114300" distR="114300" simplePos="0" relativeHeight="251662336" behindDoc="0" locked="1" layoutInCell="1" allowOverlap="1" wp14:anchorId="2CC37DDF" wp14:editId="1B19FAB5">
            <wp:simplePos x="0" y="0"/>
            <wp:positionH relativeFrom="column">
              <wp:posOffset>302260</wp:posOffset>
            </wp:positionH>
            <wp:positionV relativeFrom="page">
              <wp:posOffset>5943600</wp:posOffset>
            </wp:positionV>
            <wp:extent cx="5529580" cy="2407920"/>
            <wp:effectExtent l="0" t="0" r="0" b="0"/>
            <wp:wrapTopAndBottom/>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29580" cy="2407920"/>
                    </a:xfrm>
                    <a:prstGeom prst="rect">
                      <a:avLst/>
                    </a:prstGeom>
                  </pic:spPr>
                </pic:pic>
              </a:graphicData>
            </a:graphic>
            <wp14:sizeRelH relativeFrom="margin">
              <wp14:pctWidth>0</wp14:pctWidth>
            </wp14:sizeRelH>
            <wp14:sizeRelV relativeFrom="margin">
              <wp14:pctHeight>0</wp14:pctHeight>
            </wp14:sizeRelV>
          </wp:anchor>
        </w:drawing>
      </w:r>
      <w:r w:rsidR="00E635F2" w:rsidRPr="00E635F2">
        <w:rPr>
          <w:b/>
          <w:bCs/>
          <w:i/>
          <w:iCs/>
          <w:color w:val="000000"/>
          <w:sz w:val="20"/>
          <w:szCs w:val="20"/>
        </w:rPr>
        <w:t xml:space="preserve">Figure 2. </w:t>
      </w:r>
      <w:r w:rsidR="00E635F2" w:rsidRPr="00E635F2">
        <w:rPr>
          <w:b/>
          <w:bCs/>
          <w:color w:val="000000"/>
          <w:sz w:val="20"/>
          <w:szCs w:val="20"/>
        </w:rPr>
        <w:t xml:space="preserve">THP1 cells deliver oHSV-1 to U87 spheroids and the infection decreases tumor cells viability. A. </w:t>
      </w:r>
      <w:r w:rsidR="00E635F2" w:rsidRPr="00E635F2">
        <w:rPr>
          <w:color w:val="000000"/>
          <w:sz w:val="20"/>
          <w:szCs w:val="20"/>
        </w:rPr>
        <w:t xml:space="preserve">Spheroids characterization: time course </w:t>
      </w:r>
      <w:proofErr w:type="spellStart"/>
      <w:r w:rsidR="00E635F2" w:rsidRPr="00E635F2">
        <w:rPr>
          <w:color w:val="000000"/>
          <w:sz w:val="20"/>
          <w:szCs w:val="20"/>
        </w:rPr>
        <w:t>AnaSP</w:t>
      </w:r>
      <w:proofErr w:type="spellEnd"/>
      <w:r w:rsidR="00E635F2" w:rsidRPr="00E635F2">
        <w:rPr>
          <w:color w:val="000000"/>
          <w:sz w:val="20"/>
          <w:szCs w:val="20"/>
        </w:rPr>
        <w:t xml:space="preserve"> measurements of: Equivalent diameter, Sphericity Index, Solidity, and Compactness. </w:t>
      </w:r>
      <w:r w:rsidR="00E635F2" w:rsidRPr="00E635F2">
        <w:rPr>
          <w:b/>
          <w:bCs/>
          <w:color w:val="000000"/>
          <w:sz w:val="20"/>
          <w:szCs w:val="20"/>
        </w:rPr>
        <w:t>B.</w:t>
      </w:r>
      <w:r w:rsidR="00E635F2" w:rsidRPr="00E635F2">
        <w:rPr>
          <w:color w:val="000000"/>
          <w:sz w:val="20"/>
          <w:szCs w:val="20"/>
        </w:rPr>
        <w:t xml:space="preserve"> Representative phalloidin + DAPI staining (left) and Live/Dead assay (right) at day 7. F-actin filaments are marked red and cell nuclei blue, showing a correct distribution throughout the entire 3D structure. Cell viability is consistently high in both the shell and core of the spheroids, with cell nuclei marked in blue with Hoechst and cytoplasm of living cells marked in green with </w:t>
      </w:r>
      <w:proofErr w:type="spellStart"/>
      <w:r w:rsidR="00E635F2" w:rsidRPr="00E635F2">
        <w:rPr>
          <w:color w:val="000000"/>
          <w:sz w:val="20"/>
          <w:szCs w:val="20"/>
        </w:rPr>
        <w:t>Calcein</w:t>
      </w:r>
      <w:proofErr w:type="spellEnd"/>
      <w:r w:rsidR="00E635F2" w:rsidRPr="00E635F2">
        <w:rPr>
          <w:color w:val="000000"/>
          <w:sz w:val="20"/>
          <w:szCs w:val="20"/>
        </w:rPr>
        <w:t xml:space="preserve">-AM. Scale bars 400 µm. </w:t>
      </w:r>
      <w:r w:rsidR="00E635F2" w:rsidRPr="00E635F2">
        <w:rPr>
          <w:b/>
          <w:bCs/>
          <w:color w:val="000000"/>
          <w:sz w:val="20"/>
          <w:szCs w:val="20"/>
        </w:rPr>
        <w:t>C.</w:t>
      </w:r>
      <w:r w:rsidR="00E635F2" w:rsidRPr="00E635F2">
        <w:rPr>
          <w:color w:val="000000"/>
          <w:sz w:val="20"/>
          <w:szCs w:val="20"/>
        </w:rPr>
        <w:t xml:space="preserve"> U87</w:t>
      </w:r>
      <w:r w:rsidR="00DF562F">
        <w:rPr>
          <w:color w:val="000000"/>
          <w:sz w:val="20"/>
          <w:szCs w:val="20"/>
        </w:rPr>
        <w:t>-MG</w:t>
      </w:r>
      <w:r w:rsidR="00E635F2" w:rsidRPr="00E635F2">
        <w:rPr>
          <w:color w:val="000000"/>
          <w:sz w:val="20"/>
          <w:szCs w:val="20"/>
        </w:rPr>
        <w:t xml:space="preserve"> spheroids treated with THP-1 cells infected at MOI of 3 PFU/cell and labeled with CellTracker™ Green (500 cells/well). On day 7, the red signal of the encoded m</w:t>
      </w:r>
      <w:r w:rsidR="00097940">
        <w:rPr>
          <w:color w:val="000000"/>
          <w:sz w:val="20"/>
          <w:szCs w:val="20"/>
        </w:rPr>
        <w:t>C</w:t>
      </w:r>
      <w:r w:rsidR="00E635F2" w:rsidRPr="00E635F2">
        <w:rPr>
          <w:color w:val="000000"/>
          <w:sz w:val="20"/>
          <w:szCs w:val="20"/>
        </w:rPr>
        <w:t>herry</w:t>
      </w:r>
      <w:r w:rsidR="00097940">
        <w:rPr>
          <w:color w:val="000000"/>
          <w:sz w:val="20"/>
          <w:szCs w:val="20"/>
        </w:rPr>
        <w:t xml:space="preserve"> protein</w:t>
      </w:r>
      <w:r w:rsidR="00E635F2" w:rsidRPr="00E635F2">
        <w:rPr>
          <w:color w:val="000000"/>
          <w:sz w:val="20"/>
          <w:szCs w:val="20"/>
        </w:rPr>
        <w:t xml:space="preserve"> proves that viral infection propagated throughout the entire spheroid. </w:t>
      </w:r>
      <w:r w:rsidR="00E635F2" w:rsidRPr="00E635F2">
        <w:rPr>
          <w:b/>
          <w:bCs/>
          <w:color w:val="000000"/>
          <w:sz w:val="20"/>
          <w:szCs w:val="20"/>
        </w:rPr>
        <w:t>D.</w:t>
      </w:r>
      <w:r w:rsidR="00E635F2" w:rsidRPr="00E635F2">
        <w:rPr>
          <w:color w:val="000000"/>
          <w:sz w:val="20"/>
          <w:szCs w:val="20"/>
        </w:rPr>
        <w:t xml:space="preserve"> MTT assay</w:t>
      </w:r>
      <w:r w:rsidR="00097940">
        <w:rPr>
          <w:color w:val="000000"/>
          <w:sz w:val="20"/>
          <w:szCs w:val="20"/>
        </w:rPr>
        <w:t xml:space="preserve"> performed</w:t>
      </w:r>
      <w:r w:rsidR="00E635F2" w:rsidRPr="00E635F2">
        <w:rPr>
          <w:color w:val="000000"/>
          <w:sz w:val="20"/>
          <w:szCs w:val="20"/>
        </w:rPr>
        <w:t xml:space="preserve"> on day 7.  Values are expressed as median ± SEM from at least 3 independent experiments. </w:t>
      </w:r>
      <w:r w:rsidR="00E635F2" w:rsidRPr="00214816">
        <w:rPr>
          <w:color w:val="000000"/>
          <w:sz w:val="20"/>
          <w:szCs w:val="20"/>
          <w:lang w:val="it-IT"/>
        </w:rPr>
        <w:t>****p&lt;0.0001 vs control.</w:t>
      </w:r>
      <w:r w:rsidR="00214816" w:rsidRPr="00214816">
        <w:rPr>
          <w:color w:val="000000"/>
          <w:sz w:val="20"/>
          <w:szCs w:val="20"/>
          <w:lang w:val="it-IT"/>
        </w:rPr>
        <w:t xml:space="preserve"> </w:t>
      </w:r>
    </w:p>
    <w:p w14:paraId="0000002D" w14:textId="1AE4F90F" w:rsidR="00C314E0" w:rsidRPr="00E635F2" w:rsidRDefault="00EC28D6" w:rsidP="000A6C6E">
      <w:pPr>
        <w:numPr>
          <w:ilvl w:val="1"/>
          <w:numId w:val="1"/>
        </w:numPr>
        <w:pBdr>
          <w:top w:val="nil"/>
          <w:left w:val="nil"/>
          <w:bottom w:val="nil"/>
          <w:right w:val="nil"/>
          <w:between w:val="nil"/>
        </w:pBdr>
        <w:spacing w:before="120" w:after="80" w:line="276" w:lineRule="auto"/>
        <w:ind w:left="357" w:hanging="357"/>
        <w:jc w:val="both"/>
        <w:rPr>
          <w:b/>
        </w:rPr>
      </w:pPr>
      <w:r w:rsidRPr="00E635F2">
        <w:rPr>
          <w:b/>
          <w:color w:val="000000"/>
        </w:rPr>
        <w:lastRenderedPageBreak/>
        <w:t xml:space="preserve">Perfused </w:t>
      </w:r>
      <w:r w:rsidR="003D595D" w:rsidRPr="00E635F2">
        <w:rPr>
          <w:b/>
          <w:color w:val="000000"/>
        </w:rPr>
        <w:t>THP-1 cells loaded with oHSV-1</w:t>
      </w:r>
      <w:r w:rsidR="005D3921" w:rsidRPr="00E635F2">
        <w:rPr>
          <w:b/>
          <w:color w:val="000000"/>
        </w:rPr>
        <w:t>-</w:t>
      </w:r>
      <w:r w:rsidR="003D595D" w:rsidRPr="00E635F2">
        <w:rPr>
          <w:b/>
          <w:color w:val="000000"/>
        </w:rPr>
        <w:t xml:space="preserve">mCherry </w:t>
      </w:r>
      <w:r w:rsidRPr="00E635F2">
        <w:rPr>
          <w:b/>
          <w:color w:val="000000"/>
        </w:rPr>
        <w:t>cross</w:t>
      </w:r>
      <w:r w:rsidR="003D595D" w:rsidRPr="00E635F2">
        <w:rPr>
          <w:b/>
          <w:color w:val="000000"/>
        </w:rPr>
        <w:t xml:space="preserve"> the BB</w:t>
      </w:r>
      <w:r w:rsidRPr="00E635F2">
        <w:rPr>
          <w:b/>
          <w:color w:val="000000"/>
        </w:rPr>
        <w:t>B</w:t>
      </w:r>
      <w:r w:rsidR="003D595D" w:rsidRPr="00E635F2">
        <w:rPr>
          <w:b/>
          <w:color w:val="000000"/>
        </w:rPr>
        <w:t xml:space="preserve"> and transmit the viral infection to U87-derived tumor spheroids</w:t>
      </w:r>
    </w:p>
    <w:p w14:paraId="384A2FE8" w14:textId="4E8A8323" w:rsidR="0087586B" w:rsidRPr="00E635F2" w:rsidRDefault="0087586B" w:rsidP="0087586B">
      <w:pPr>
        <w:pBdr>
          <w:top w:val="nil"/>
          <w:left w:val="nil"/>
          <w:bottom w:val="nil"/>
          <w:right w:val="nil"/>
          <w:between w:val="nil"/>
        </w:pBdr>
        <w:spacing w:line="276" w:lineRule="auto"/>
        <w:jc w:val="both"/>
        <w:rPr>
          <w:color w:val="000000" w:themeColor="text1"/>
        </w:rPr>
      </w:pPr>
      <w:bookmarkStart w:id="0" w:name="_Hlk195863318"/>
      <w:r w:rsidRPr="00E635F2">
        <w:rPr>
          <w:color w:val="000000"/>
        </w:rPr>
        <w:t>The BBB-on-chip devices containing U87</w:t>
      </w:r>
      <w:r w:rsidR="00097940">
        <w:rPr>
          <w:color w:val="000000"/>
        </w:rPr>
        <w:t xml:space="preserve"> </w:t>
      </w:r>
      <w:r w:rsidR="00F40D83" w:rsidRPr="00E635F2">
        <w:rPr>
          <w:color w:val="000000"/>
        </w:rPr>
        <w:t>GBM</w:t>
      </w:r>
      <w:r w:rsidRPr="00E635F2">
        <w:rPr>
          <w:color w:val="000000"/>
        </w:rPr>
        <w:t xml:space="preserve"> spheroids (one per microwell, for a total of three spheroids per device) are connected to the perfusion system </w:t>
      </w:r>
      <w:r w:rsidR="00BB493C" w:rsidRPr="00E635F2">
        <w:rPr>
          <w:color w:val="000000"/>
        </w:rPr>
        <w:t xml:space="preserve">on the blood side </w:t>
      </w:r>
      <w:r w:rsidRPr="00E635F2">
        <w:rPr>
          <w:color w:val="000000"/>
        </w:rPr>
        <w:t xml:space="preserve">to deliver: </w:t>
      </w:r>
      <w:proofErr w:type="spellStart"/>
      <w:r w:rsidRPr="00E635F2">
        <w:rPr>
          <w:i/>
          <w:color w:val="000000"/>
        </w:rPr>
        <w:t>i</w:t>
      </w:r>
      <w:proofErr w:type="spellEnd"/>
      <w:r w:rsidRPr="00E635F2">
        <w:rPr>
          <w:i/>
          <w:color w:val="000000"/>
        </w:rPr>
        <w:t>.</w:t>
      </w:r>
      <w:r w:rsidRPr="00E635F2">
        <w:rPr>
          <w:color w:val="000000"/>
        </w:rPr>
        <w:t xml:space="preserve"> THP-1 cells labeled with </w:t>
      </w:r>
      <w:r w:rsidR="0004107D" w:rsidRPr="00E635F2">
        <w:rPr>
          <w:color w:val="000000"/>
        </w:rPr>
        <w:t xml:space="preserve">CellTracker™ Green </w:t>
      </w:r>
      <w:r w:rsidRPr="00E635F2">
        <w:rPr>
          <w:color w:val="000000"/>
        </w:rPr>
        <w:t xml:space="preserve">and infected with oHSV-1-mCherry, </w:t>
      </w:r>
      <w:r w:rsidRPr="00E635F2">
        <w:rPr>
          <w:i/>
          <w:color w:val="000000"/>
        </w:rPr>
        <w:t>ii.</w:t>
      </w:r>
      <w:r w:rsidRPr="00E635F2">
        <w:rPr>
          <w:color w:val="000000"/>
        </w:rPr>
        <w:t xml:space="preserve"> </w:t>
      </w:r>
      <w:r w:rsidR="00097940" w:rsidRPr="00E635F2">
        <w:rPr>
          <w:color w:val="000000"/>
        </w:rPr>
        <w:t>N</w:t>
      </w:r>
      <w:r w:rsidR="00965003" w:rsidRPr="00E635F2">
        <w:rPr>
          <w:color w:val="000000"/>
        </w:rPr>
        <w:t>aïve</w:t>
      </w:r>
      <w:r w:rsidR="00097940">
        <w:rPr>
          <w:color w:val="000000"/>
        </w:rPr>
        <w:t>,</w:t>
      </w:r>
      <w:r w:rsidR="00965003" w:rsidRPr="00E635F2">
        <w:rPr>
          <w:color w:val="000000"/>
        </w:rPr>
        <w:t xml:space="preserve"> </w:t>
      </w:r>
      <w:r w:rsidR="00DD5DA8" w:rsidRPr="00E635F2">
        <w:rPr>
          <w:color w:val="000000"/>
        </w:rPr>
        <w:t xml:space="preserve">labeled </w:t>
      </w:r>
      <w:r w:rsidRPr="00E635F2">
        <w:rPr>
          <w:color w:val="000000"/>
        </w:rPr>
        <w:t xml:space="preserve">THP-1 cells, or </w:t>
      </w:r>
      <w:r w:rsidRPr="00E635F2">
        <w:rPr>
          <w:i/>
          <w:color w:val="000000"/>
        </w:rPr>
        <w:t>iii.</w:t>
      </w:r>
      <w:r w:rsidRPr="00E635F2">
        <w:rPr>
          <w:color w:val="000000"/>
        </w:rPr>
        <w:t xml:space="preserve"> free oHSV-1-mCherry. </w:t>
      </w:r>
      <w:r w:rsidR="001E5400" w:rsidRPr="00E635F2">
        <w:rPr>
          <w:color w:val="000000"/>
        </w:rPr>
        <w:t xml:space="preserve">Negative controls are also performed perfusing culture media only. </w:t>
      </w:r>
      <w:r w:rsidRPr="00E635F2">
        <w:rPr>
          <w:color w:val="000000"/>
        </w:rPr>
        <w:t xml:space="preserve">Each device is maintained in perfused conditions and analyzed over several days using fluorescence microscopy to evaluate monocyte migration across the </w:t>
      </w:r>
      <w:r w:rsidRPr="00E635F2">
        <w:rPr>
          <w:color w:val="000000" w:themeColor="text1"/>
        </w:rPr>
        <w:t>BBB and the transmission and spreading of the viral infection to the tumor spheroids.</w:t>
      </w:r>
    </w:p>
    <w:p w14:paraId="00000034" w14:textId="0217622A" w:rsidR="00C314E0" w:rsidRDefault="00AC399F">
      <w:pPr>
        <w:pBdr>
          <w:top w:val="nil"/>
          <w:left w:val="nil"/>
          <w:bottom w:val="nil"/>
          <w:right w:val="nil"/>
          <w:between w:val="nil"/>
        </w:pBdr>
        <w:spacing w:line="276" w:lineRule="auto"/>
        <w:jc w:val="both"/>
        <w:rPr>
          <w:color w:val="000000"/>
        </w:rPr>
      </w:pPr>
      <w:r w:rsidRPr="00E635F2">
        <w:rPr>
          <w:color w:val="000000" w:themeColor="text1"/>
        </w:rPr>
        <w:t>First, g</w:t>
      </w:r>
      <w:r w:rsidR="0087586B" w:rsidRPr="00E635F2">
        <w:rPr>
          <w:color w:val="000000" w:themeColor="text1"/>
        </w:rPr>
        <w:t>reen-labeled THP-1 monocytes can be detected in the apical compartment (blood side), and</w:t>
      </w:r>
      <w:r w:rsidR="00BB493C" w:rsidRPr="00E635F2">
        <w:rPr>
          <w:color w:val="000000" w:themeColor="text1"/>
        </w:rPr>
        <w:t xml:space="preserve"> as early as after 24 hours successfully cross the BBB and are found </w:t>
      </w:r>
      <w:r w:rsidR="0087586B" w:rsidRPr="00E635F2">
        <w:rPr>
          <w:color w:val="000000" w:themeColor="text1"/>
        </w:rPr>
        <w:t xml:space="preserve">in the microwells containing the </w:t>
      </w:r>
      <w:r w:rsidR="00097940">
        <w:rPr>
          <w:color w:val="000000" w:themeColor="text1"/>
        </w:rPr>
        <w:t>U87 GBM</w:t>
      </w:r>
      <w:r w:rsidR="0087586B" w:rsidRPr="00E635F2">
        <w:rPr>
          <w:color w:val="000000" w:themeColor="text1"/>
        </w:rPr>
        <w:t xml:space="preserve"> spheroids (</w:t>
      </w:r>
      <w:r w:rsidR="0087586B" w:rsidRPr="00E635F2">
        <w:rPr>
          <w:b/>
          <w:bCs/>
          <w:color w:val="000000" w:themeColor="text1"/>
        </w:rPr>
        <w:t>Figure 3.A</w:t>
      </w:r>
      <w:r w:rsidR="0087586B" w:rsidRPr="00E635F2">
        <w:rPr>
          <w:color w:val="000000" w:themeColor="text1"/>
        </w:rPr>
        <w:t>)</w:t>
      </w:r>
      <w:r w:rsidR="0087692B" w:rsidRPr="00E635F2">
        <w:rPr>
          <w:color w:val="000000" w:themeColor="text1"/>
        </w:rPr>
        <w:t xml:space="preserve">. </w:t>
      </w:r>
      <w:r w:rsidR="00743F6E" w:rsidRPr="00E635F2">
        <w:rPr>
          <w:color w:val="000000" w:themeColor="text1"/>
        </w:rPr>
        <w:t>Focusing on the BBB (</w:t>
      </w:r>
      <w:r w:rsidR="00743F6E" w:rsidRPr="00E635F2">
        <w:rPr>
          <w:b/>
          <w:bCs/>
          <w:color w:val="000000" w:themeColor="text1"/>
        </w:rPr>
        <w:t>Figure 3.B</w:t>
      </w:r>
      <w:r w:rsidR="00743F6E" w:rsidRPr="00E635F2">
        <w:rPr>
          <w:color w:val="000000" w:themeColor="text1"/>
        </w:rPr>
        <w:t>), we observe infection</w:t>
      </w:r>
      <w:r w:rsidR="00097940">
        <w:rPr>
          <w:color w:val="000000" w:themeColor="text1"/>
        </w:rPr>
        <w:t>, marked by red fluorescence,</w:t>
      </w:r>
      <w:r w:rsidR="00743F6E" w:rsidRPr="00E635F2">
        <w:rPr>
          <w:color w:val="000000" w:themeColor="text1"/>
        </w:rPr>
        <w:t xml:space="preserve"> only when perfusing free oHSV-1-mCherry, proving that THP-1</w:t>
      </w:r>
      <w:r w:rsidR="00097940">
        <w:rPr>
          <w:color w:val="000000" w:themeColor="text1"/>
        </w:rPr>
        <w:t xml:space="preserve"> cells</w:t>
      </w:r>
      <w:r w:rsidR="00743F6E" w:rsidRPr="00E635F2">
        <w:rPr>
          <w:color w:val="000000" w:themeColor="text1"/>
        </w:rPr>
        <w:t xml:space="preserve"> shuttle the viral particles</w:t>
      </w:r>
      <w:r w:rsidR="00097940">
        <w:rPr>
          <w:color w:val="000000" w:themeColor="text1"/>
        </w:rPr>
        <w:t xml:space="preserve"> while</w:t>
      </w:r>
      <w:r w:rsidR="00743F6E" w:rsidRPr="00E635F2">
        <w:rPr>
          <w:color w:val="000000" w:themeColor="text1"/>
        </w:rPr>
        <w:t xml:space="preserve"> </w:t>
      </w:r>
      <w:r w:rsidR="00C219F4">
        <w:rPr>
          <w:color w:val="000000" w:themeColor="text1"/>
        </w:rPr>
        <w:t xml:space="preserve">minimally </w:t>
      </w:r>
      <w:r w:rsidR="00743F6E" w:rsidRPr="00E635F2">
        <w:rPr>
          <w:color w:val="000000" w:themeColor="text1"/>
        </w:rPr>
        <w:t xml:space="preserve">affecting the barrier. </w:t>
      </w:r>
      <w:r w:rsidR="006E2185" w:rsidRPr="00E635F2">
        <w:rPr>
          <w:color w:val="000000" w:themeColor="text1"/>
        </w:rPr>
        <w:t>Analyzing the tumor compartment with the GBM spheroids</w:t>
      </w:r>
      <w:r w:rsidR="00D5397C" w:rsidRPr="00E635F2">
        <w:rPr>
          <w:color w:val="000000" w:themeColor="text1"/>
        </w:rPr>
        <w:t xml:space="preserve"> (</w:t>
      </w:r>
      <w:r w:rsidR="00D5397C" w:rsidRPr="00E635F2">
        <w:rPr>
          <w:b/>
          <w:bCs/>
          <w:color w:val="000000" w:themeColor="text1"/>
        </w:rPr>
        <w:t>Figure 3.C</w:t>
      </w:r>
      <w:r w:rsidR="00D5397C" w:rsidRPr="00E635F2">
        <w:rPr>
          <w:color w:val="000000" w:themeColor="text1"/>
        </w:rPr>
        <w:t>)</w:t>
      </w:r>
      <w:r w:rsidR="006E2185" w:rsidRPr="00E635F2">
        <w:rPr>
          <w:color w:val="000000" w:themeColor="text1"/>
        </w:rPr>
        <w:t xml:space="preserve">, </w:t>
      </w:r>
      <w:r w:rsidR="00D5397C" w:rsidRPr="00E635F2">
        <w:rPr>
          <w:color w:val="000000" w:themeColor="text1"/>
        </w:rPr>
        <w:t>fluorescent signals are detected at the 24 hours timepoint, representative of THP-1 cells (green) and viral</w:t>
      </w:r>
      <w:r w:rsidR="00097940">
        <w:rPr>
          <w:color w:val="000000" w:themeColor="text1"/>
        </w:rPr>
        <w:t>ly infected cells</w:t>
      </w:r>
      <w:r w:rsidR="00D5397C" w:rsidRPr="00E635F2">
        <w:rPr>
          <w:color w:val="000000" w:themeColor="text1"/>
        </w:rPr>
        <w:t xml:space="preserve"> (red)</w:t>
      </w:r>
      <w:r w:rsidR="00C21EBC" w:rsidRPr="00E635F2">
        <w:rPr>
          <w:color w:val="000000" w:themeColor="text1"/>
        </w:rPr>
        <w:t xml:space="preserve">, further confirming successful crossing of the BBB and targeted migration towards the tumor spheroids. At </w:t>
      </w:r>
      <w:r w:rsidR="0087586B" w:rsidRPr="00E635F2">
        <w:rPr>
          <w:color w:val="000000" w:themeColor="text1"/>
        </w:rPr>
        <w:t xml:space="preserve">the later timepoints of 48 and 72 hours, THP-1 cells infected with oHSV-1-mCherry penetrate the tumor spheroids, further transmitting the virus to cancer cells. </w:t>
      </w:r>
      <w:r w:rsidR="00C21EBC" w:rsidRPr="00E635F2">
        <w:rPr>
          <w:color w:val="000000" w:themeColor="text1"/>
        </w:rPr>
        <w:t>F</w:t>
      </w:r>
      <w:r w:rsidR="0087586B" w:rsidRPr="00E635F2">
        <w:rPr>
          <w:color w:val="000000" w:themeColor="text1"/>
        </w:rPr>
        <w:t xml:space="preserve">ree oHSV-1-mCherry viral particles </w:t>
      </w:r>
      <w:r w:rsidR="00C21EBC" w:rsidRPr="00E635F2">
        <w:rPr>
          <w:color w:val="000000" w:themeColor="text1"/>
        </w:rPr>
        <w:t>similarly</w:t>
      </w:r>
      <w:r w:rsidR="0087586B" w:rsidRPr="00E635F2">
        <w:rPr>
          <w:color w:val="000000" w:themeColor="text1"/>
        </w:rPr>
        <w:t xml:space="preserve"> </w:t>
      </w:r>
      <w:r w:rsidR="00097940">
        <w:rPr>
          <w:color w:val="000000" w:themeColor="text1"/>
        </w:rPr>
        <w:t>reach</w:t>
      </w:r>
      <w:r w:rsidR="0087586B" w:rsidRPr="00E635F2">
        <w:rPr>
          <w:color w:val="000000" w:themeColor="text1"/>
        </w:rPr>
        <w:t xml:space="preserve"> the microwells</w:t>
      </w:r>
      <w:r w:rsidR="00097940">
        <w:rPr>
          <w:color w:val="000000" w:themeColor="text1"/>
        </w:rPr>
        <w:t xml:space="preserve"> </w:t>
      </w:r>
      <w:r w:rsidR="00B4285A" w:rsidRPr="00E635F2">
        <w:rPr>
          <w:color w:val="000000" w:themeColor="text1"/>
        </w:rPr>
        <w:t>and infect the spheroids</w:t>
      </w:r>
      <w:r w:rsidR="00B4285A">
        <w:rPr>
          <w:color w:val="000000" w:themeColor="text1"/>
        </w:rPr>
        <w:t xml:space="preserve">, </w:t>
      </w:r>
      <w:r w:rsidR="00097940">
        <w:rPr>
          <w:color w:val="000000" w:themeColor="text1"/>
        </w:rPr>
        <w:t>after infecting the cells of the barrier</w:t>
      </w:r>
      <w:bookmarkEnd w:id="0"/>
      <w:r w:rsidR="00FA2A6C" w:rsidRPr="00E635F2">
        <w:rPr>
          <w:color w:val="000000" w:themeColor="text1"/>
        </w:rPr>
        <w:t xml:space="preserve">. </w:t>
      </w:r>
      <w:r w:rsidR="0087586B" w:rsidRPr="00E635F2">
        <w:rPr>
          <w:color w:val="000000" w:themeColor="text1"/>
        </w:rPr>
        <w:t xml:space="preserve">The key </w:t>
      </w:r>
      <w:r w:rsidR="0087586B" w:rsidRPr="00E635F2">
        <w:rPr>
          <w:color w:val="000000"/>
        </w:rPr>
        <w:t xml:space="preserve">findings from </w:t>
      </w:r>
      <w:r w:rsidR="0087586B" w:rsidRPr="00E635F2">
        <w:rPr>
          <w:b/>
          <w:bCs/>
          <w:color w:val="000000"/>
        </w:rPr>
        <w:t>Figure 3</w:t>
      </w:r>
      <w:r w:rsidR="0087586B" w:rsidRPr="00E635F2">
        <w:rPr>
          <w:color w:val="000000"/>
        </w:rPr>
        <w:t xml:space="preserve"> can thus be summarized as follows.</w:t>
      </w:r>
      <w:r w:rsidR="00294CB5" w:rsidRPr="00E635F2">
        <w:rPr>
          <w:color w:val="000000"/>
        </w:rPr>
        <w:t xml:space="preserve"> </w:t>
      </w:r>
      <w:r w:rsidR="0031109E" w:rsidRPr="00E635F2">
        <w:rPr>
          <w:color w:val="000000"/>
        </w:rPr>
        <w:t>1. F</w:t>
      </w:r>
      <w:r w:rsidR="0087586B" w:rsidRPr="00E635F2">
        <w:rPr>
          <w:color w:val="000000"/>
        </w:rPr>
        <w:t xml:space="preserve">ree oHSV-1-mCherry perfused through the blood </w:t>
      </w:r>
      <w:r w:rsidR="0087586B" w:rsidRPr="00E635F2">
        <w:rPr>
          <w:color w:val="000000" w:themeColor="text1"/>
        </w:rPr>
        <w:t>side of the BBB-on-chip can infect and replicate within the BBB cells, potentially compromising their function.</w:t>
      </w:r>
      <w:r w:rsidR="00957282" w:rsidRPr="00E635F2">
        <w:rPr>
          <w:color w:val="000000" w:themeColor="text1"/>
        </w:rPr>
        <w:t xml:space="preserve"> It is also conceivable that the attenuated virus would be </w:t>
      </w:r>
      <w:r w:rsidR="0031109E" w:rsidRPr="00E635F2">
        <w:rPr>
          <w:color w:val="000000" w:themeColor="text1"/>
        </w:rPr>
        <w:t>eliminated in the presence of a competent immune system prior to reaching and crossing the barrier, a hypothesis that will be verified in the next sections</w:t>
      </w:r>
      <w:r w:rsidR="00957282" w:rsidRPr="00E635F2">
        <w:rPr>
          <w:color w:val="000000" w:themeColor="text1"/>
        </w:rPr>
        <w:t>.</w:t>
      </w:r>
      <w:r w:rsidR="0087586B" w:rsidRPr="00E635F2">
        <w:rPr>
          <w:color w:val="000000" w:themeColor="text1"/>
        </w:rPr>
        <w:t xml:space="preserve"> </w:t>
      </w:r>
      <w:r w:rsidR="0031109E" w:rsidRPr="00E635F2">
        <w:rPr>
          <w:color w:val="000000" w:themeColor="text1"/>
        </w:rPr>
        <w:t>2. W</w:t>
      </w:r>
      <w:r w:rsidR="0087586B" w:rsidRPr="00E635F2">
        <w:rPr>
          <w:color w:val="000000" w:themeColor="text1"/>
        </w:rPr>
        <w:t xml:space="preserve">hen THP-1 monocytes are used as carriers for oHSV-1-mCherry, no </w:t>
      </w:r>
      <w:r w:rsidR="0087586B" w:rsidRPr="00E635F2">
        <w:rPr>
          <w:color w:val="000000"/>
        </w:rPr>
        <w:t xml:space="preserve">infection of the BBB cells is observed, confirmed by the negligible red fluorescent signals. </w:t>
      </w:r>
      <w:r w:rsidR="0031109E" w:rsidRPr="00E635F2">
        <w:rPr>
          <w:color w:val="000000"/>
        </w:rPr>
        <w:t>3.</w:t>
      </w:r>
      <w:r w:rsidR="0087586B" w:rsidRPr="00E635F2">
        <w:rPr>
          <w:color w:val="000000"/>
        </w:rPr>
        <w:t xml:space="preserve"> </w:t>
      </w:r>
      <w:r w:rsidR="0031109E" w:rsidRPr="00E635F2">
        <w:rPr>
          <w:color w:val="000000"/>
        </w:rPr>
        <w:t>I</w:t>
      </w:r>
      <w:r w:rsidR="0087586B" w:rsidRPr="00E635F2">
        <w:rPr>
          <w:color w:val="000000"/>
        </w:rPr>
        <w:t xml:space="preserve">nfected THP-1 cells </w:t>
      </w:r>
      <w:r w:rsidR="0031109E" w:rsidRPr="00E635F2">
        <w:rPr>
          <w:color w:val="000000"/>
        </w:rPr>
        <w:t xml:space="preserve">successfully </w:t>
      </w:r>
      <w:r w:rsidR="0087586B" w:rsidRPr="00E635F2">
        <w:rPr>
          <w:color w:val="000000"/>
        </w:rPr>
        <w:t>cross the BBB and transmit viral infection to tumor spheroids.</w:t>
      </w:r>
      <w:r w:rsidR="0031109E" w:rsidRPr="00E635F2">
        <w:rPr>
          <w:color w:val="000000"/>
        </w:rPr>
        <w:t xml:space="preserve"> Thus overall, monocyte-mediated delivery exerts a protective role, preserving the integrity and functionality of the BBB while facilitating targeted viral transmission to the tumor spheroids. </w:t>
      </w:r>
    </w:p>
    <w:p w14:paraId="24548335" w14:textId="77777777" w:rsidR="0062435D" w:rsidRDefault="0062435D">
      <w:pPr>
        <w:pBdr>
          <w:top w:val="nil"/>
          <w:left w:val="nil"/>
          <w:bottom w:val="nil"/>
          <w:right w:val="nil"/>
          <w:between w:val="nil"/>
        </w:pBdr>
        <w:spacing w:line="276" w:lineRule="auto"/>
        <w:jc w:val="both"/>
        <w:rPr>
          <w:color w:val="000000"/>
        </w:rPr>
      </w:pPr>
    </w:p>
    <w:p w14:paraId="1CD96B4B" w14:textId="4F0111C2" w:rsidR="0062435D" w:rsidRPr="00E635F2" w:rsidRDefault="0062435D" w:rsidP="0062435D">
      <w:pPr>
        <w:pBdr>
          <w:top w:val="nil"/>
          <w:left w:val="nil"/>
          <w:bottom w:val="nil"/>
          <w:right w:val="nil"/>
          <w:between w:val="nil"/>
        </w:pBdr>
        <w:spacing w:before="120" w:after="80" w:line="276" w:lineRule="auto"/>
        <w:jc w:val="both"/>
        <w:rPr>
          <w:b/>
        </w:rPr>
      </w:pPr>
      <w:r w:rsidRPr="00E635F2">
        <w:rPr>
          <w:b/>
        </w:rPr>
        <w:t xml:space="preserve">2.4 Human </w:t>
      </w:r>
      <w:r w:rsidR="0050182D">
        <w:rPr>
          <w:b/>
        </w:rPr>
        <w:t>p</w:t>
      </w:r>
      <w:r w:rsidRPr="00E635F2">
        <w:rPr>
          <w:b/>
        </w:rPr>
        <w:t xml:space="preserve">rimary </w:t>
      </w:r>
      <w:r w:rsidR="0050182D">
        <w:rPr>
          <w:b/>
        </w:rPr>
        <w:t>m</w:t>
      </w:r>
      <w:r w:rsidRPr="00E635F2">
        <w:rPr>
          <w:b/>
        </w:rPr>
        <w:t>onocytes transmit oHSV-1-mCherry infection to GBM spheroids and cross the BBB in the microfluidic model</w:t>
      </w:r>
    </w:p>
    <w:p w14:paraId="2F9E46B8" w14:textId="6A50E35D" w:rsidR="0062435D" w:rsidRDefault="0062435D" w:rsidP="0062435D">
      <w:pPr>
        <w:pBdr>
          <w:top w:val="nil"/>
          <w:left w:val="nil"/>
          <w:bottom w:val="nil"/>
          <w:right w:val="nil"/>
          <w:between w:val="nil"/>
        </w:pBdr>
        <w:spacing w:line="276" w:lineRule="auto"/>
        <w:jc w:val="both"/>
        <w:rPr>
          <w:color w:val="000000"/>
        </w:rPr>
      </w:pPr>
      <w:r w:rsidRPr="00E635F2">
        <w:t xml:space="preserve">Building on the successful transmission of oHSV-1-mCherry infection by THP-1 cells to </w:t>
      </w:r>
      <w:r w:rsidR="00097940">
        <w:t>U87 GBM</w:t>
      </w:r>
      <w:r w:rsidRPr="00E635F2">
        <w:t xml:space="preserve"> spheroids, we proceeded to use human primary monocytes from healthy donors as a more physiologically relevant source for carrier cells. Human primary monocytes isolated from validated buffy coats are labeled with CellTracker™ Green and loaded with oHSV-1-mCherry (MOI = 3 PFU/cell). To assess whether primary monocytes can effectively deliver their viral payload to tumor cells, we co-cultured oHSV-1-mCherry–loaded monocytes with </w:t>
      </w:r>
      <w:r w:rsidR="00097940">
        <w:t>U87 GBM</w:t>
      </w:r>
      <w:r w:rsidRPr="00E635F2">
        <w:t xml:space="preserve"> spheroids in standard microwell conditions. Within 24 hours (</w:t>
      </w:r>
      <w:r w:rsidRPr="00E635F2">
        <w:rPr>
          <w:b/>
          <w:bCs/>
        </w:rPr>
        <w:t>Supplementary Figure S.3A</w:t>
      </w:r>
      <w:r w:rsidRPr="00E635F2">
        <w:t>), the monocytes successfully migrate toward and infiltrate the spheroids, accumulating at the tumor periphery and interior. By 48 hours, active viral replication is evident, and by day 7, red fluorescent signal from oHSV-1-mCherry is detected throughout the 3D tumor structure. At this point, spheroids exposed to loaded primary</w:t>
      </w:r>
      <w:r>
        <w:t xml:space="preserve"> </w:t>
      </w:r>
      <w:r w:rsidRPr="00E635F2">
        <w:lastRenderedPageBreak/>
        <w:t>monocytes exhibit a marked reduction in viability compared to untreated controls (</w:t>
      </w:r>
      <w:r w:rsidRPr="00E635F2">
        <w:rPr>
          <w:b/>
        </w:rPr>
        <w:t>Supplementary Figure S.3B</w:t>
      </w:r>
      <w:r w:rsidRPr="00E635F2">
        <w:t>).</w:t>
      </w:r>
    </w:p>
    <w:p w14:paraId="2943B4A6" w14:textId="22225CB7" w:rsidR="00665D03" w:rsidRPr="006D210A" w:rsidRDefault="006D210A" w:rsidP="006D210A">
      <w:pPr>
        <w:pBdr>
          <w:top w:val="nil"/>
          <w:left w:val="nil"/>
          <w:bottom w:val="nil"/>
          <w:right w:val="nil"/>
          <w:between w:val="nil"/>
        </w:pBdr>
        <w:spacing w:line="276" w:lineRule="auto"/>
        <w:jc w:val="both"/>
        <w:rPr>
          <w:color w:val="000000"/>
        </w:rPr>
      </w:pPr>
      <w:r>
        <w:rPr>
          <w:noProof/>
          <w:color w:val="000000"/>
        </w:rPr>
        <w:drawing>
          <wp:anchor distT="0" distB="0" distL="114300" distR="114300" simplePos="0" relativeHeight="251663360" behindDoc="0" locked="1" layoutInCell="1" allowOverlap="1" wp14:anchorId="59DCE5AA" wp14:editId="219AFE16">
            <wp:simplePos x="0" y="0"/>
            <wp:positionH relativeFrom="column">
              <wp:posOffset>-1633</wp:posOffset>
            </wp:positionH>
            <wp:positionV relativeFrom="page">
              <wp:posOffset>1306286</wp:posOffset>
            </wp:positionV>
            <wp:extent cx="6120000" cy="5904000"/>
            <wp:effectExtent l="0" t="0" r="0" b="1905"/>
            <wp:wrapTopAndBottom/>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3.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5904000"/>
                    </a:xfrm>
                    <a:prstGeom prst="rect">
                      <a:avLst/>
                    </a:prstGeom>
                  </pic:spPr>
                </pic:pic>
              </a:graphicData>
            </a:graphic>
            <wp14:sizeRelH relativeFrom="margin">
              <wp14:pctWidth>0</wp14:pctWidth>
            </wp14:sizeRelH>
            <wp14:sizeRelV relativeFrom="margin">
              <wp14:pctHeight>0</wp14:pctHeight>
            </wp14:sizeRelV>
          </wp:anchor>
        </w:drawing>
      </w:r>
      <w:r w:rsidR="00665D03" w:rsidRPr="00665D03">
        <w:rPr>
          <w:b/>
          <w:bCs/>
          <w:i/>
          <w:iCs/>
          <w:color w:val="000000"/>
          <w:sz w:val="20"/>
          <w:szCs w:val="20"/>
        </w:rPr>
        <w:t>Figure 3.</w:t>
      </w:r>
      <w:r w:rsidR="00665D03" w:rsidRPr="00665D03">
        <w:rPr>
          <w:b/>
          <w:bCs/>
          <w:color w:val="000000"/>
          <w:sz w:val="20"/>
          <w:szCs w:val="20"/>
        </w:rPr>
        <w:t xml:space="preserve"> THP-1 cells cross the BBB-on-chip and deliver oHSV-1 to GBM tumor spheroids. A. </w:t>
      </w:r>
      <w:r w:rsidR="00665D03" w:rsidRPr="00665D03">
        <w:rPr>
          <w:color w:val="000000"/>
          <w:sz w:val="20"/>
          <w:szCs w:val="20"/>
        </w:rPr>
        <w:t>The BBB-on-chip model is perfused with naïve THP-1 cells marked with CellTracker™ Green (5</w:t>
      </w:r>
      <w:r w:rsidR="00EF583C">
        <w:rPr>
          <w:color w:val="000000"/>
          <w:sz w:val="20"/>
          <w:szCs w:val="20"/>
        </w:rPr>
        <w:t xml:space="preserve"> </w:t>
      </w:r>
      <w:r w:rsidR="00665D03" w:rsidRPr="00665D03">
        <w:rPr>
          <w:color w:val="000000"/>
          <w:sz w:val="20"/>
          <w:szCs w:val="20"/>
        </w:rPr>
        <w:t xml:space="preserve">x 10⁵ cells/chip). After 24 hours, THP-1 cells crossing the BBB reach the GBM spheroids in the microwells of the tumor compartment. </w:t>
      </w:r>
      <w:r w:rsidR="00665D03" w:rsidRPr="00665D03">
        <w:rPr>
          <w:b/>
          <w:bCs/>
          <w:color w:val="000000"/>
          <w:sz w:val="20"/>
          <w:szCs w:val="20"/>
        </w:rPr>
        <w:t>B.</w:t>
      </w:r>
      <w:r w:rsidR="00665D03" w:rsidRPr="00665D03">
        <w:rPr>
          <w:color w:val="000000"/>
          <w:sz w:val="20"/>
          <w:szCs w:val="20"/>
        </w:rPr>
        <w:t xml:space="preserve"> Representative images of the BBB after 48 hours of perfusion with: </w:t>
      </w:r>
      <w:proofErr w:type="spellStart"/>
      <w:r w:rsidR="00665D03" w:rsidRPr="00665D03">
        <w:rPr>
          <w:color w:val="000000"/>
          <w:sz w:val="20"/>
          <w:szCs w:val="20"/>
        </w:rPr>
        <w:t>i</w:t>
      </w:r>
      <w:proofErr w:type="spellEnd"/>
      <w:r w:rsidR="00665D03" w:rsidRPr="00665D03">
        <w:rPr>
          <w:color w:val="000000"/>
          <w:sz w:val="20"/>
          <w:szCs w:val="20"/>
        </w:rPr>
        <w:t xml:space="preserve">. cell culture medium (negative control), ii. THP-1 cells infected with oHSV-1-mCherry, and iii. free virus. Scale bar: 200 µm. </w:t>
      </w:r>
      <w:r w:rsidR="00665D03" w:rsidRPr="00665D03">
        <w:rPr>
          <w:b/>
          <w:bCs/>
          <w:color w:val="000000"/>
          <w:sz w:val="20"/>
          <w:szCs w:val="20"/>
        </w:rPr>
        <w:t>C.</w:t>
      </w:r>
      <w:r w:rsidR="00665D03" w:rsidRPr="00665D03">
        <w:rPr>
          <w:color w:val="000000"/>
          <w:sz w:val="20"/>
          <w:szCs w:val="20"/>
        </w:rPr>
        <w:t xml:space="preserve"> U87</w:t>
      </w:r>
      <w:r w:rsidR="00097940">
        <w:rPr>
          <w:color w:val="000000"/>
          <w:sz w:val="20"/>
          <w:szCs w:val="20"/>
        </w:rPr>
        <w:t xml:space="preserve"> </w:t>
      </w:r>
      <w:r w:rsidR="00026A1E">
        <w:rPr>
          <w:color w:val="000000"/>
          <w:sz w:val="20"/>
          <w:szCs w:val="20"/>
        </w:rPr>
        <w:t>G</w:t>
      </w:r>
      <w:r w:rsidR="00097940">
        <w:rPr>
          <w:color w:val="000000"/>
          <w:sz w:val="20"/>
          <w:szCs w:val="20"/>
        </w:rPr>
        <w:t>BM</w:t>
      </w:r>
      <w:r w:rsidR="00665D03" w:rsidRPr="00665D03">
        <w:rPr>
          <w:color w:val="000000"/>
          <w:sz w:val="20"/>
          <w:szCs w:val="20"/>
        </w:rPr>
        <w:t xml:space="preserve"> spheroids within the BBB-on-chip perfused with THP-1 cells labeled with CellTracker™ Green and infected with oHSV-1-mCherry (MOI = 3 PFU/cell, 5 x 10⁵ cells/chip), after 24, 48, and 72 hours. </w:t>
      </w:r>
      <w:r w:rsidR="00665D03" w:rsidRPr="00665D03">
        <w:rPr>
          <w:b/>
          <w:bCs/>
          <w:color w:val="000000"/>
          <w:sz w:val="20"/>
          <w:szCs w:val="20"/>
        </w:rPr>
        <w:t>D.</w:t>
      </w:r>
      <w:r w:rsidR="00665D03" w:rsidRPr="00665D03">
        <w:rPr>
          <w:color w:val="000000"/>
          <w:sz w:val="20"/>
          <w:szCs w:val="20"/>
        </w:rPr>
        <w:t xml:space="preserve"> U87</w:t>
      </w:r>
      <w:r w:rsidR="00097940">
        <w:rPr>
          <w:color w:val="000000"/>
          <w:sz w:val="20"/>
          <w:szCs w:val="20"/>
        </w:rPr>
        <w:t xml:space="preserve"> </w:t>
      </w:r>
      <w:r w:rsidR="00026A1E">
        <w:rPr>
          <w:color w:val="000000"/>
          <w:sz w:val="20"/>
          <w:szCs w:val="20"/>
        </w:rPr>
        <w:t>G</w:t>
      </w:r>
      <w:r w:rsidR="00097940">
        <w:rPr>
          <w:color w:val="000000"/>
          <w:sz w:val="20"/>
          <w:szCs w:val="20"/>
        </w:rPr>
        <w:t>BM</w:t>
      </w:r>
      <w:r w:rsidR="00665D03" w:rsidRPr="00665D03">
        <w:rPr>
          <w:color w:val="000000"/>
          <w:sz w:val="20"/>
          <w:szCs w:val="20"/>
        </w:rPr>
        <w:t xml:space="preserve"> spheroids within the BBB-on-chip after perfusion with free oHSV-1-mCherry (1.5 x 10⁶ PFU/chip) after 24, 48, and 72 hours. Scale bar: 200 µm.</w:t>
      </w:r>
    </w:p>
    <w:p w14:paraId="274F6ADC" w14:textId="77777777" w:rsidR="0062435D" w:rsidRPr="00665D03" w:rsidRDefault="0062435D" w:rsidP="00665D03">
      <w:pPr>
        <w:pBdr>
          <w:top w:val="nil"/>
          <w:left w:val="nil"/>
          <w:bottom w:val="nil"/>
          <w:right w:val="nil"/>
          <w:between w:val="nil"/>
        </w:pBdr>
        <w:jc w:val="both"/>
        <w:rPr>
          <w:color w:val="000000"/>
          <w:sz w:val="20"/>
          <w:szCs w:val="20"/>
        </w:rPr>
      </w:pPr>
    </w:p>
    <w:p w14:paraId="2D3FD906" w14:textId="26B704E9" w:rsidR="00D46438" w:rsidRPr="00E635F2" w:rsidRDefault="000A6C6E" w:rsidP="00B173C9">
      <w:pPr>
        <w:pBdr>
          <w:top w:val="nil"/>
          <w:left w:val="nil"/>
          <w:bottom w:val="nil"/>
          <w:right w:val="nil"/>
          <w:between w:val="nil"/>
        </w:pBdr>
        <w:spacing w:line="276" w:lineRule="auto"/>
        <w:jc w:val="both"/>
      </w:pPr>
      <w:r w:rsidRPr="00E635F2">
        <w:t xml:space="preserve">These findings </w:t>
      </w:r>
      <w:r w:rsidR="00DD5DA8" w:rsidRPr="00E635F2">
        <w:t>demonstrate that</w:t>
      </w:r>
      <w:r w:rsidR="006204E2" w:rsidRPr="00E635F2">
        <w:t>, like THP-1 cells,</w:t>
      </w:r>
      <w:r w:rsidRPr="00E635F2">
        <w:t xml:space="preserve"> human primary monocytes </w:t>
      </w:r>
      <w:r w:rsidR="00DD5DA8" w:rsidRPr="00E635F2">
        <w:t>can</w:t>
      </w:r>
      <w:r w:rsidRPr="00E635F2">
        <w:t xml:space="preserve"> deliver oHSV-1-mCherry with effective oncolytic activity. The ability of human primary monocytes loaded with oHSV-1-mCherry to cross the BBB and transmit viral infection to </w:t>
      </w:r>
      <w:r w:rsidR="00097940">
        <w:t>U87 GBM</w:t>
      </w:r>
      <w:r w:rsidRPr="00E635F2">
        <w:t xml:space="preserve"> spheroids is then evaluated in the BBB-on-chip</w:t>
      </w:r>
      <w:r w:rsidR="00CC63C4" w:rsidRPr="00E635F2">
        <w:t xml:space="preserve"> model</w:t>
      </w:r>
      <w:r w:rsidRPr="00E635F2">
        <w:t>.</w:t>
      </w:r>
      <w:r w:rsidR="00FA2A6C" w:rsidRPr="00E635F2">
        <w:t xml:space="preserve"> </w:t>
      </w:r>
      <w:r w:rsidRPr="00E635F2">
        <w:t xml:space="preserve">Human primary monocytes migrate through the device crossing the BBB as early as after 24 hours of </w:t>
      </w:r>
      <w:r w:rsidRPr="00214816">
        <w:t>perfusion th</w:t>
      </w:r>
      <w:r w:rsidR="0018350D" w:rsidRPr="00214816">
        <w:t>r</w:t>
      </w:r>
      <w:r w:rsidRPr="00214816">
        <w:t xml:space="preserve">ough the </w:t>
      </w:r>
      <w:r w:rsidR="0064559B" w:rsidRPr="00214816">
        <w:t>blood</w:t>
      </w:r>
      <w:r w:rsidR="0064559B" w:rsidRPr="00E635F2">
        <w:t xml:space="preserve"> side of the device</w:t>
      </w:r>
      <w:r w:rsidRPr="00E635F2">
        <w:t xml:space="preserve">. </w:t>
      </w:r>
      <w:r w:rsidR="003B4C49" w:rsidRPr="00E635F2">
        <w:t>G</w:t>
      </w:r>
      <w:r w:rsidR="0087692B" w:rsidRPr="00E635F2">
        <w:t>reen cells are</w:t>
      </w:r>
      <w:r w:rsidRPr="00E635F2">
        <w:t xml:space="preserve"> detected in the </w:t>
      </w:r>
      <w:r w:rsidR="003B4C49" w:rsidRPr="00E635F2">
        <w:t>bottom</w:t>
      </w:r>
      <w:r w:rsidRPr="00E635F2">
        <w:t xml:space="preserve"> layer of the BBB, connecting channels, and </w:t>
      </w:r>
      <w:r w:rsidR="003B4C49" w:rsidRPr="00E635F2">
        <w:t>in</w:t>
      </w:r>
      <w:r w:rsidRPr="00E635F2">
        <w:t xml:space="preserve"> the microwells containing </w:t>
      </w:r>
      <w:r w:rsidR="00097940">
        <w:t xml:space="preserve">U87 </w:t>
      </w:r>
      <w:r w:rsidR="00097940">
        <w:lastRenderedPageBreak/>
        <w:t>GBM</w:t>
      </w:r>
      <w:r w:rsidRPr="00E635F2">
        <w:t xml:space="preserve"> spheroids (</w:t>
      </w:r>
      <w:r w:rsidRPr="00E635F2">
        <w:rPr>
          <w:b/>
        </w:rPr>
        <w:t>Figure 4.</w:t>
      </w:r>
      <w:r w:rsidR="00FA2A6C" w:rsidRPr="00E635F2">
        <w:rPr>
          <w:b/>
        </w:rPr>
        <w:t>A</w:t>
      </w:r>
      <w:r w:rsidRPr="00E635F2">
        <w:t xml:space="preserve">). </w:t>
      </w:r>
      <w:r w:rsidR="00786421" w:rsidRPr="00E635F2">
        <w:t>M</w:t>
      </w:r>
      <w:r w:rsidR="005F50B9" w:rsidRPr="00E635F2">
        <w:t xml:space="preserve">onocyte migration is enhanced in the presence of tumor spheroids, suggesting a signaling interplay between GBM cells, monocytes, and the BBB that </w:t>
      </w:r>
      <w:r w:rsidR="00363D1D">
        <w:t>could promote</w:t>
      </w:r>
      <w:r w:rsidR="005F50B9" w:rsidRPr="00E635F2">
        <w:t xml:space="preserve"> increased membrane permeability and immune cell recruitment toward the tumor niche. After 48 hours (</w:t>
      </w:r>
      <w:r w:rsidR="005F50B9" w:rsidRPr="00E635F2">
        <w:rPr>
          <w:b/>
          <w:bCs/>
        </w:rPr>
        <w:t>Figure 4.B</w:t>
      </w:r>
      <w:r w:rsidR="005F50B9" w:rsidRPr="00E635F2">
        <w:t xml:space="preserve">), human primary monocytes are observed adjacent to and within the </w:t>
      </w:r>
      <w:r w:rsidR="00097940">
        <w:t>U87 GBM</w:t>
      </w:r>
      <w:r w:rsidR="005F50B9" w:rsidRPr="00E635F2">
        <w:t xml:space="preserve"> spheroids in the tumor compartment, further confirming their targeting capability. At this stage, viral replication</w:t>
      </w:r>
      <w:r w:rsidR="00B173C9" w:rsidRPr="00E635F2">
        <w:t xml:space="preserve">, </w:t>
      </w:r>
      <w:r w:rsidR="005F50B9" w:rsidRPr="00E635F2">
        <w:t>indicated by red fluorescence</w:t>
      </w:r>
      <w:r w:rsidR="00B173C9" w:rsidRPr="00E635F2">
        <w:t xml:space="preserve">, </w:t>
      </w:r>
      <w:r w:rsidR="005F50B9" w:rsidRPr="00E635F2">
        <w:t xml:space="preserve">also becomes detectable. By day 5, the red fluorescent signal spreads throughout the 3D GBM spheroids </w:t>
      </w:r>
      <w:r w:rsidR="005F50B9" w:rsidRPr="00E635F2">
        <w:rPr>
          <w:b/>
          <w:bCs/>
        </w:rPr>
        <w:t>(Figure 4.B</w:t>
      </w:r>
      <w:r w:rsidR="005F50B9" w:rsidRPr="00E635F2">
        <w:t>), supporting the ability of human primary monocytes to deliver and transmit oHSV-1-mCherry infection to tumor cells.</w:t>
      </w:r>
    </w:p>
    <w:p w14:paraId="14EFEF86" w14:textId="23C79AAD" w:rsidR="00AE720A" w:rsidRPr="006D210A" w:rsidRDefault="006D210A" w:rsidP="006D210A">
      <w:pPr>
        <w:pBdr>
          <w:top w:val="nil"/>
          <w:left w:val="nil"/>
          <w:bottom w:val="nil"/>
          <w:right w:val="nil"/>
          <w:between w:val="nil"/>
        </w:pBdr>
        <w:spacing w:line="276" w:lineRule="auto"/>
        <w:jc w:val="both"/>
        <w:rPr>
          <w:b/>
          <w:color w:val="000000"/>
        </w:rPr>
      </w:pPr>
      <w:r>
        <w:rPr>
          <w:b/>
          <w:noProof/>
          <w:color w:val="000000"/>
        </w:rPr>
        <w:drawing>
          <wp:anchor distT="0" distB="0" distL="114300" distR="114300" simplePos="0" relativeHeight="251664384" behindDoc="0" locked="1" layoutInCell="1" allowOverlap="1" wp14:anchorId="48E939D5" wp14:editId="53907BA5">
            <wp:simplePos x="0" y="0"/>
            <wp:positionH relativeFrom="column">
              <wp:posOffset>-635</wp:posOffset>
            </wp:positionH>
            <wp:positionV relativeFrom="page">
              <wp:posOffset>2592705</wp:posOffset>
            </wp:positionV>
            <wp:extent cx="6118860" cy="4225925"/>
            <wp:effectExtent l="0" t="0" r="2540" b="3175"/>
            <wp:wrapTopAndBottom/>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 4.png"/>
                    <pic:cNvPicPr/>
                  </pic:nvPicPr>
                  <pic:blipFill rotWithShape="1">
                    <a:blip r:embed="rId14" cstate="print">
                      <a:extLst>
                        <a:ext uri="{28A0092B-C50C-407E-A947-70E740481C1C}">
                          <a14:useLocalDpi xmlns:a14="http://schemas.microsoft.com/office/drawing/2010/main" val="0"/>
                        </a:ext>
                      </a:extLst>
                    </a:blip>
                    <a:srcRect t="1743"/>
                    <a:stretch/>
                  </pic:blipFill>
                  <pic:spPr bwMode="auto">
                    <a:xfrm>
                      <a:off x="0" y="0"/>
                      <a:ext cx="6118860" cy="4225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720A" w:rsidRPr="00AE720A">
        <w:rPr>
          <w:b/>
          <w:i/>
          <w:iCs/>
          <w:color w:val="000000"/>
          <w:sz w:val="20"/>
          <w:szCs w:val="20"/>
        </w:rPr>
        <w:t>Figure 4</w:t>
      </w:r>
      <w:r w:rsidR="00AE720A" w:rsidRPr="00AE720A">
        <w:rPr>
          <w:b/>
          <w:color w:val="000000"/>
          <w:sz w:val="20"/>
          <w:szCs w:val="20"/>
        </w:rPr>
        <w:t xml:space="preserve">. oHSV-1-loaded human primary monocytes cross the BBB-on-chip and deliver their viral cargo to GBM tumor spheroids. A. </w:t>
      </w:r>
      <w:r w:rsidR="00AE720A" w:rsidRPr="00AE720A">
        <w:rPr>
          <w:bCs/>
          <w:color w:val="000000"/>
          <w:sz w:val="20"/>
          <w:szCs w:val="20"/>
        </w:rPr>
        <w:t xml:space="preserve">Human primary monocytes transmigration through the BBB increases in the presence of </w:t>
      </w:r>
      <w:r w:rsidR="00097940">
        <w:rPr>
          <w:bCs/>
          <w:color w:val="000000"/>
          <w:sz w:val="20"/>
          <w:szCs w:val="20"/>
        </w:rPr>
        <w:t>U87 GBM</w:t>
      </w:r>
      <w:r w:rsidR="00AE720A" w:rsidRPr="00AE720A">
        <w:rPr>
          <w:bCs/>
          <w:color w:val="000000"/>
          <w:sz w:val="20"/>
          <w:szCs w:val="20"/>
        </w:rPr>
        <w:t xml:space="preserve"> spheroids. Green fluorescent cells are more abundant in the </w:t>
      </w:r>
      <w:r w:rsidR="00797293">
        <w:rPr>
          <w:bCs/>
          <w:color w:val="000000"/>
          <w:sz w:val="20"/>
          <w:szCs w:val="20"/>
        </w:rPr>
        <w:t>basolateral</w:t>
      </w:r>
      <w:r w:rsidR="00AE720A" w:rsidRPr="00AE720A">
        <w:rPr>
          <w:bCs/>
          <w:color w:val="000000"/>
          <w:sz w:val="20"/>
          <w:szCs w:val="20"/>
        </w:rPr>
        <w:t xml:space="preserve"> compartment </w:t>
      </w:r>
      <w:r w:rsidR="00797293">
        <w:rPr>
          <w:bCs/>
          <w:color w:val="000000"/>
          <w:sz w:val="20"/>
          <w:szCs w:val="20"/>
        </w:rPr>
        <w:t xml:space="preserve">(brain side) </w:t>
      </w:r>
      <w:r w:rsidR="00AE720A" w:rsidRPr="00AE720A">
        <w:rPr>
          <w:bCs/>
          <w:color w:val="000000"/>
          <w:sz w:val="20"/>
          <w:szCs w:val="20"/>
        </w:rPr>
        <w:t>and tumor microwells when spheroids are present (w/ U87</w:t>
      </w:r>
      <w:r w:rsidR="00026A1E">
        <w:rPr>
          <w:bCs/>
          <w:color w:val="000000"/>
          <w:sz w:val="20"/>
          <w:szCs w:val="20"/>
        </w:rPr>
        <w:t>-</w:t>
      </w:r>
      <w:r w:rsidR="00AE720A" w:rsidRPr="00AE720A">
        <w:rPr>
          <w:bCs/>
          <w:color w:val="000000"/>
          <w:sz w:val="20"/>
          <w:szCs w:val="20"/>
        </w:rPr>
        <w:t>GBM). In contrast, devices without tumor spheroids (w/o U87</w:t>
      </w:r>
      <w:r w:rsidR="00026A1E">
        <w:rPr>
          <w:bCs/>
          <w:color w:val="000000"/>
          <w:sz w:val="20"/>
          <w:szCs w:val="20"/>
        </w:rPr>
        <w:t>-</w:t>
      </w:r>
      <w:r w:rsidR="00AE720A" w:rsidRPr="00AE720A">
        <w:rPr>
          <w:bCs/>
          <w:color w:val="000000"/>
          <w:sz w:val="20"/>
          <w:szCs w:val="20"/>
        </w:rPr>
        <w:t>GBM) show limited</w:t>
      </w:r>
      <w:r w:rsidR="00363D1D">
        <w:rPr>
          <w:bCs/>
          <w:color w:val="000000"/>
          <w:sz w:val="20"/>
          <w:szCs w:val="20"/>
        </w:rPr>
        <w:t xml:space="preserve"> to absent</w:t>
      </w:r>
      <w:r w:rsidR="00AE720A" w:rsidRPr="00AE720A">
        <w:rPr>
          <w:bCs/>
          <w:color w:val="000000"/>
          <w:sz w:val="20"/>
          <w:szCs w:val="20"/>
        </w:rPr>
        <w:t xml:space="preserve"> monocyte migration across the BBB. </w:t>
      </w:r>
      <w:r w:rsidR="00AE720A" w:rsidRPr="00AE720A">
        <w:rPr>
          <w:b/>
          <w:color w:val="000000"/>
          <w:sz w:val="20"/>
          <w:szCs w:val="20"/>
        </w:rPr>
        <w:t>B.</w:t>
      </w:r>
      <w:r w:rsidR="00AE720A">
        <w:rPr>
          <w:bCs/>
          <w:color w:val="000000"/>
          <w:sz w:val="20"/>
          <w:szCs w:val="20"/>
        </w:rPr>
        <w:t xml:space="preserve"> </w:t>
      </w:r>
      <w:r w:rsidR="00AE720A" w:rsidRPr="00AE720A">
        <w:rPr>
          <w:bCs/>
          <w:color w:val="000000"/>
          <w:sz w:val="20"/>
          <w:szCs w:val="20"/>
        </w:rPr>
        <w:t xml:space="preserve">After 24 hours of perfusion, human primary monocytes loaded with oHSV-1-mCherry cross the BBB and reach the spheroids in the tumor compartment. Representative images of GBM spheroids at </w:t>
      </w:r>
      <w:r w:rsidR="00797293">
        <w:rPr>
          <w:bCs/>
          <w:color w:val="000000"/>
          <w:sz w:val="20"/>
          <w:szCs w:val="20"/>
        </w:rPr>
        <w:t xml:space="preserve">later timepoints after </w:t>
      </w:r>
      <w:r w:rsidR="00AE720A" w:rsidRPr="00AE720A">
        <w:rPr>
          <w:bCs/>
          <w:color w:val="000000"/>
          <w:sz w:val="20"/>
          <w:szCs w:val="20"/>
        </w:rPr>
        <w:t xml:space="preserve">2 and 5 </w:t>
      </w:r>
      <w:r w:rsidR="00797293">
        <w:rPr>
          <w:bCs/>
          <w:color w:val="000000"/>
          <w:sz w:val="20"/>
          <w:szCs w:val="20"/>
        </w:rPr>
        <w:t xml:space="preserve">days </w:t>
      </w:r>
      <w:r w:rsidR="00AE720A" w:rsidRPr="00AE720A">
        <w:rPr>
          <w:bCs/>
          <w:color w:val="000000"/>
          <w:sz w:val="20"/>
          <w:szCs w:val="20"/>
        </w:rPr>
        <w:t xml:space="preserve">of loaded monocytes perfusion show progressively increasing red fluorescence signals </w:t>
      </w:r>
      <w:r w:rsidR="00363D1D">
        <w:rPr>
          <w:bCs/>
          <w:color w:val="000000"/>
          <w:sz w:val="20"/>
          <w:szCs w:val="20"/>
        </w:rPr>
        <w:t>indicating infection with the</w:t>
      </w:r>
      <w:r w:rsidR="00AE720A" w:rsidRPr="00AE720A">
        <w:rPr>
          <w:bCs/>
          <w:color w:val="000000"/>
          <w:sz w:val="20"/>
          <w:szCs w:val="20"/>
        </w:rPr>
        <w:t xml:space="preserve"> shuttled oHSV-1-mCherry.</w:t>
      </w:r>
    </w:p>
    <w:p w14:paraId="55154F65" w14:textId="77777777" w:rsidR="00AE720A" w:rsidRDefault="00AE720A" w:rsidP="005439AF">
      <w:pPr>
        <w:pBdr>
          <w:top w:val="nil"/>
          <w:left w:val="nil"/>
          <w:bottom w:val="nil"/>
          <w:right w:val="nil"/>
          <w:between w:val="nil"/>
        </w:pBdr>
        <w:spacing w:line="276" w:lineRule="auto"/>
        <w:jc w:val="both"/>
        <w:rPr>
          <w:b/>
          <w:color w:val="000000"/>
        </w:rPr>
      </w:pPr>
    </w:p>
    <w:p w14:paraId="00000046" w14:textId="2CCDA624" w:rsidR="00C314E0" w:rsidRPr="00E635F2" w:rsidRDefault="005439AF" w:rsidP="00F32D25">
      <w:pPr>
        <w:pBdr>
          <w:top w:val="nil"/>
          <w:left w:val="nil"/>
          <w:bottom w:val="nil"/>
          <w:right w:val="nil"/>
          <w:between w:val="nil"/>
        </w:pBdr>
        <w:spacing w:before="120" w:after="80" w:line="276" w:lineRule="auto"/>
        <w:jc w:val="both"/>
        <w:rPr>
          <w:b/>
          <w:color w:val="000000"/>
        </w:rPr>
      </w:pPr>
      <w:r w:rsidRPr="00E635F2">
        <w:rPr>
          <w:b/>
          <w:color w:val="000000"/>
        </w:rPr>
        <w:t>2.</w:t>
      </w:r>
      <w:r w:rsidR="002E710B" w:rsidRPr="00E635F2">
        <w:rPr>
          <w:b/>
          <w:color w:val="000000"/>
        </w:rPr>
        <w:t>5</w:t>
      </w:r>
      <w:r w:rsidRPr="00E635F2">
        <w:rPr>
          <w:b/>
          <w:color w:val="000000"/>
        </w:rPr>
        <w:t xml:space="preserve"> </w:t>
      </w:r>
      <w:r w:rsidR="003D595D" w:rsidRPr="00E635F2">
        <w:rPr>
          <w:b/>
          <w:color w:val="000000"/>
        </w:rPr>
        <w:t>Human primary monocytes cross the BBB and protect oHSV-1</w:t>
      </w:r>
      <w:r w:rsidR="002D561D" w:rsidRPr="00E635F2">
        <w:rPr>
          <w:b/>
          <w:color w:val="000000"/>
        </w:rPr>
        <w:t>-</w:t>
      </w:r>
      <w:r w:rsidR="003D595D" w:rsidRPr="00E635F2">
        <w:rPr>
          <w:b/>
          <w:color w:val="000000"/>
        </w:rPr>
        <w:t xml:space="preserve">mCherry from antibody neutralization, transmitting the viral infection to GBM tumor spheroids </w:t>
      </w:r>
    </w:p>
    <w:p w14:paraId="55BE0B66" w14:textId="794B5FB8" w:rsidR="00284867" w:rsidRDefault="00873C86" w:rsidP="00363D1D">
      <w:pPr>
        <w:pBdr>
          <w:top w:val="nil"/>
          <w:left w:val="nil"/>
          <w:bottom w:val="nil"/>
          <w:right w:val="nil"/>
          <w:between w:val="nil"/>
        </w:pBdr>
        <w:jc w:val="both"/>
        <w:rPr>
          <w:color w:val="000000"/>
          <w:vertAlign w:val="superscript"/>
        </w:rPr>
      </w:pPr>
      <w:r>
        <w:rPr>
          <w:color w:val="000000"/>
        </w:rPr>
        <w:t>S</w:t>
      </w:r>
      <w:r w:rsidR="002E710B" w:rsidRPr="00E635F2">
        <w:rPr>
          <w:color w:val="000000"/>
        </w:rPr>
        <w:t>ystemic</w:t>
      </w:r>
      <w:r>
        <w:rPr>
          <w:color w:val="000000"/>
        </w:rPr>
        <w:t>ally</w:t>
      </w:r>
      <w:r w:rsidR="002E710B" w:rsidRPr="00E635F2">
        <w:rPr>
          <w:color w:val="000000"/>
        </w:rPr>
        <w:t xml:space="preserve"> adminis</w:t>
      </w:r>
      <w:r>
        <w:rPr>
          <w:color w:val="000000"/>
        </w:rPr>
        <w:t>tered</w:t>
      </w:r>
      <w:r w:rsidR="002E710B" w:rsidRPr="00E635F2">
        <w:rPr>
          <w:color w:val="000000"/>
        </w:rPr>
        <w:t xml:space="preserve"> free OV</w:t>
      </w:r>
      <w:r w:rsidR="0004107D" w:rsidRPr="00E635F2">
        <w:rPr>
          <w:color w:val="000000"/>
        </w:rPr>
        <w:t>s</w:t>
      </w:r>
      <w:r w:rsidR="002E710B" w:rsidRPr="00E635F2">
        <w:rPr>
          <w:color w:val="000000"/>
        </w:rPr>
        <w:t xml:space="preserve"> </w:t>
      </w:r>
      <w:r>
        <w:rPr>
          <w:color w:val="000000"/>
        </w:rPr>
        <w:t>are</w:t>
      </w:r>
      <w:r w:rsidR="002E710B" w:rsidRPr="00E635F2">
        <w:rPr>
          <w:color w:val="000000"/>
        </w:rPr>
        <w:t xml:space="preserve"> limited by neutralization </w:t>
      </w:r>
      <w:r w:rsidR="0004107D" w:rsidRPr="00E635F2">
        <w:rPr>
          <w:color w:val="000000"/>
        </w:rPr>
        <w:t>by</w:t>
      </w:r>
      <w:r w:rsidR="00F26DF9">
        <w:rPr>
          <w:color w:val="000000"/>
        </w:rPr>
        <w:t xml:space="preserve"> </w:t>
      </w:r>
      <w:r w:rsidR="002E710B" w:rsidRPr="00E635F2">
        <w:rPr>
          <w:color w:val="000000"/>
        </w:rPr>
        <w:t xml:space="preserve">pre-existing host antibodies, particularly </w:t>
      </w:r>
      <w:r>
        <w:rPr>
          <w:color w:val="000000"/>
        </w:rPr>
        <w:t>for</w:t>
      </w:r>
      <w:r w:rsidR="002E710B" w:rsidRPr="00E635F2">
        <w:rPr>
          <w:color w:val="000000"/>
        </w:rPr>
        <w:t xml:space="preserve"> oncolytic agents based on viruses with high human seroprevalence</w:t>
      </w:r>
      <w:r w:rsidR="0004107D" w:rsidRPr="00E635F2">
        <w:rPr>
          <w:color w:val="000000"/>
        </w:rPr>
        <w:t>, such</w:t>
      </w:r>
      <w:r w:rsidR="002E710B" w:rsidRPr="00E635F2">
        <w:rPr>
          <w:color w:val="000000"/>
        </w:rPr>
        <w:t xml:space="preserve"> as HSV-</w:t>
      </w:r>
      <w:r w:rsidR="006D210A">
        <w:rPr>
          <w:color w:val="000000"/>
        </w:rPr>
        <w:t>1</w:t>
      </w:r>
      <w:r w:rsidR="00284867">
        <w:rPr>
          <w:color w:val="000000"/>
        </w:rPr>
        <w:t>.</w:t>
      </w:r>
      <w:r w:rsidR="00284867" w:rsidRPr="00284867">
        <w:rPr>
          <w:color w:val="000000"/>
          <w:vertAlign w:val="superscript"/>
        </w:rPr>
        <w:t>[29</w:t>
      </w:r>
      <w:r w:rsidR="00284867">
        <w:rPr>
          <w:color w:val="000000"/>
          <w:vertAlign w:val="superscript"/>
        </w:rPr>
        <w:t>]</w:t>
      </w:r>
    </w:p>
    <w:p w14:paraId="4324BA43" w14:textId="45E8B128" w:rsidR="00363D1D" w:rsidRDefault="00363D1D" w:rsidP="00363D1D">
      <w:pPr>
        <w:pBdr>
          <w:top w:val="nil"/>
          <w:left w:val="nil"/>
          <w:bottom w:val="nil"/>
          <w:right w:val="nil"/>
          <w:between w:val="nil"/>
        </w:pBdr>
        <w:jc w:val="both"/>
        <w:rPr>
          <w:color w:val="000000"/>
          <w:sz w:val="20"/>
          <w:szCs w:val="20"/>
        </w:rPr>
      </w:pPr>
      <w:r>
        <w:rPr>
          <w:noProof/>
          <w:lang w:eastAsia="en-US"/>
        </w:rPr>
        <w:lastRenderedPageBreak/>
        <w:drawing>
          <wp:anchor distT="0" distB="0" distL="114300" distR="114300" simplePos="0" relativeHeight="251661312" behindDoc="0" locked="0" layoutInCell="1" allowOverlap="1" wp14:anchorId="72BDDBE2" wp14:editId="78A94F54">
            <wp:simplePos x="0" y="0"/>
            <wp:positionH relativeFrom="margin">
              <wp:align>center</wp:align>
            </wp:positionH>
            <wp:positionV relativeFrom="margin">
              <wp:align>top</wp:align>
            </wp:positionV>
            <wp:extent cx="5801193" cy="4758903"/>
            <wp:effectExtent l="0" t="0" r="3175" b="3810"/>
            <wp:wrapSquare wrapText="bothSides"/>
            <wp:docPr id="4898326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137369" name="Picture 1936137369"/>
                    <pic:cNvPicPr/>
                  </pic:nvPicPr>
                  <pic:blipFill rotWithShape="1">
                    <a:blip r:embed="rId15" cstate="print">
                      <a:extLst>
                        <a:ext uri="{28A0092B-C50C-407E-A947-70E740481C1C}">
                          <a14:useLocalDpi xmlns:a14="http://schemas.microsoft.com/office/drawing/2010/main" val="0"/>
                        </a:ext>
                      </a:extLst>
                    </a:blip>
                    <a:srcRect l="1470" b="3131"/>
                    <a:stretch/>
                  </pic:blipFill>
                  <pic:spPr bwMode="auto">
                    <a:xfrm>
                      <a:off x="0" y="0"/>
                      <a:ext cx="5801193" cy="4758903"/>
                    </a:xfrm>
                    <a:prstGeom prst="rect">
                      <a:avLst/>
                    </a:prstGeom>
                    <a:ln>
                      <a:noFill/>
                    </a:ln>
                    <a:extLst>
                      <a:ext uri="{53640926-AAD7-44D8-BBD7-CCE9431645EC}">
                        <a14:shadowObscured xmlns:a14="http://schemas.microsoft.com/office/drawing/2010/main"/>
                      </a:ext>
                    </a:extLst>
                  </pic:spPr>
                </pic:pic>
              </a:graphicData>
            </a:graphic>
          </wp:anchor>
        </w:drawing>
      </w:r>
      <w:r w:rsidRPr="00E83118">
        <w:rPr>
          <w:b/>
          <w:bCs/>
          <w:i/>
          <w:iCs/>
          <w:color w:val="000000"/>
          <w:sz w:val="20"/>
          <w:szCs w:val="20"/>
        </w:rPr>
        <w:t>Figure 5.</w:t>
      </w:r>
      <w:r w:rsidRPr="00E83118">
        <w:rPr>
          <w:b/>
          <w:bCs/>
          <w:color w:val="000000"/>
          <w:sz w:val="20"/>
          <w:szCs w:val="20"/>
        </w:rPr>
        <w:t xml:space="preserve"> Human monocytes efficiently shield their oHSV-1 cargo from neutralizing human hyperimmune gamma globulins. A.</w:t>
      </w:r>
      <w:r w:rsidRPr="00E83118">
        <w:rPr>
          <w:color w:val="000000"/>
          <w:sz w:val="20"/>
          <w:szCs w:val="20"/>
        </w:rPr>
        <w:t xml:space="preserve"> </w:t>
      </w:r>
      <w:r>
        <w:rPr>
          <w:color w:val="000000"/>
          <w:sz w:val="20"/>
          <w:szCs w:val="20"/>
        </w:rPr>
        <w:t xml:space="preserve">Time course of </w:t>
      </w:r>
      <w:r w:rsidRPr="00E83118">
        <w:rPr>
          <w:color w:val="000000"/>
          <w:sz w:val="20"/>
          <w:szCs w:val="20"/>
        </w:rPr>
        <w:t xml:space="preserve">GBM spheroids infected with free oHSV-1 mCherry </w:t>
      </w:r>
      <w:r w:rsidRPr="00214816">
        <w:rPr>
          <w:color w:val="000000"/>
          <w:sz w:val="20"/>
          <w:szCs w:val="20"/>
        </w:rPr>
        <w:t>(1.5</w:t>
      </w:r>
      <w:r w:rsidR="00EF583C" w:rsidRPr="00214816">
        <w:rPr>
          <w:color w:val="000000"/>
          <w:sz w:val="20"/>
          <w:szCs w:val="20"/>
        </w:rPr>
        <w:t xml:space="preserve">x </w:t>
      </w:r>
      <w:r w:rsidRPr="00214816">
        <w:rPr>
          <w:color w:val="000000"/>
          <w:sz w:val="20"/>
          <w:szCs w:val="20"/>
        </w:rPr>
        <w:t>10</w:t>
      </w:r>
      <w:r w:rsidRPr="00214816">
        <w:rPr>
          <w:color w:val="000000"/>
          <w:sz w:val="20"/>
          <w:szCs w:val="20"/>
          <w:vertAlign w:val="superscript"/>
        </w:rPr>
        <w:t>3</w:t>
      </w:r>
      <w:r w:rsidRPr="00214816">
        <w:rPr>
          <w:color w:val="000000"/>
          <w:sz w:val="20"/>
          <w:szCs w:val="20"/>
        </w:rPr>
        <w:t xml:space="preserve"> PFU/well) in static microwells with and without human hyperimmune </w:t>
      </w:r>
      <w:proofErr w:type="spellStart"/>
      <w:r w:rsidRPr="00214816">
        <w:rPr>
          <w:color w:val="000000"/>
          <w:sz w:val="20"/>
          <w:szCs w:val="20"/>
        </w:rPr>
        <w:t>IgGs</w:t>
      </w:r>
      <w:proofErr w:type="spellEnd"/>
      <w:r w:rsidRPr="00214816">
        <w:rPr>
          <w:color w:val="000000"/>
          <w:sz w:val="20"/>
          <w:szCs w:val="20"/>
        </w:rPr>
        <w:t xml:space="preserve"> (1:8 dilution). Scale bars 400 and 100 µm. </w:t>
      </w:r>
      <w:r w:rsidRPr="00214816">
        <w:rPr>
          <w:b/>
          <w:bCs/>
          <w:color w:val="000000"/>
          <w:sz w:val="20"/>
          <w:szCs w:val="20"/>
        </w:rPr>
        <w:t>B.</w:t>
      </w:r>
      <w:r w:rsidRPr="00214816">
        <w:rPr>
          <w:color w:val="000000"/>
          <w:sz w:val="20"/>
          <w:szCs w:val="20"/>
        </w:rPr>
        <w:t xml:space="preserve"> Tumor spheroids treated with primary human monocytes infected with oHSV-1-mCherry (MOI = 3 PFU/cell, 5</w:t>
      </w:r>
      <w:r w:rsidR="00EF583C" w:rsidRPr="00214816">
        <w:rPr>
          <w:color w:val="000000"/>
          <w:sz w:val="20"/>
          <w:szCs w:val="20"/>
        </w:rPr>
        <w:t xml:space="preserve">x </w:t>
      </w:r>
      <w:r w:rsidRPr="00214816">
        <w:rPr>
          <w:color w:val="000000"/>
          <w:sz w:val="20"/>
          <w:szCs w:val="20"/>
        </w:rPr>
        <w:t>10</w:t>
      </w:r>
      <w:r w:rsidRPr="00214816">
        <w:rPr>
          <w:color w:val="000000"/>
          <w:sz w:val="20"/>
          <w:szCs w:val="20"/>
          <w:vertAlign w:val="superscript"/>
        </w:rPr>
        <w:t>3</w:t>
      </w:r>
      <w:r w:rsidRPr="00214816">
        <w:rPr>
          <w:color w:val="000000"/>
          <w:sz w:val="20"/>
          <w:szCs w:val="20"/>
        </w:rPr>
        <w:t xml:space="preserve"> cells/well) in static microwells with and without human hyperimmune </w:t>
      </w:r>
      <w:proofErr w:type="spellStart"/>
      <w:r w:rsidRPr="00214816">
        <w:rPr>
          <w:color w:val="000000"/>
          <w:sz w:val="20"/>
          <w:szCs w:val="20"/>
        </w:rPr>
        <w:t>IgGs</w:t>
      </w:r>
      <w:proofErr w:type="spellEnd"/>
      <w:r w:rsidRPr="00214816">
        <w:rPr>
          <w:color w:val="000000"/>
          <w:sz w:val="20"/>
          <w:szCs w:val="20"/>
        </w:rPr>
        <w:t xml:space="preserve"> (1:8 dilution). </w:t>
      </w:r>
      <w:r w:rsidRPr="00214816">
        <w:rPr>
          <w:b/>
          <w:bCs/>
          <w:color w:val="000000"/>
          <w:sz w:val="20"/>
          <w:szCs w:val="20"/>
        </w:rPr>
        <w:t>C.</w:t>
      </w:r>
      <w:r w:rsidRPr="00214816">
        <w:rPr>
          <w:color w:val="000000"/>
          <w:sz w:val="20"/>
          <w:szCs w:val="20"/>
        </w:rPr>
        <w:t xml:space="preserve"> Primary human monocytes infected with oHSV-1 mCherry (MOI = 3 PFU/cell, 3</w:t>
      </w:r>
      <w:r w:rsidR="008C4A23" w:rsidRPr="00214816">
        <w:rPr>
          <w:color w:val="000000"/>
          <w:sz w:val="20"/>
          <w:szCs w:val="20"/>
        </w:rPr>
        <w:t>x</w:t>
      </w:r>
      <w:r w:rsidRPr="00214816">
        <w:rPr>
          <w:color w:val="000000"/>
          <w:sz w:val="20"/>
          <w:szCs w:val="20"/>
        </w:rPr>
        <w:t xml:space="preserve">10⁵ cells/chip) are perfused in the BBB-on-chip models in the presence of human hyperimmune </w:t>
      </w:r>
      <w:proofErr w:type="spellStart"/>
      <w:r w:rsidRPr="00214816">
        <w:rPr>
          <w:color w:val="000000"/>
          <w:sz w:val="20"/>
          <w:szCs w:val="20"/>
        </w:rPr>
        <w:t>IgGs</w:t>
      </w:r>
      <w:proofErr w:type="spellEnd"/>
      <w:r w:rsidRPr="00214816">
        <w:rPr>
          <w:color w:val="000000"/>
          <w:sz w:val="20"/>
          <w:szCs w:val="20"/>
        </w:rPr>
        <w:t xml:space="preserve"> (1:8 dilution) and monitored for 5 days confirming successful transmission of the infection. </w:t>
      </w:r>
      <w:r w:rsidRPr="00214816">
        <w:rPr>
          <w:b/>
          <w:bCs/>
          <w:color w:val="000000"/>
          <w:sz w:val="20"/>
          <w:szCs w:val="20"/>
        </w:rPr>
        <w:t>D.</w:t>
      </w:r>
      <w:r w:rsidRPr="00214816">
        <w:rPr>
          <w:color w:val="000000"/>
          <w:sz w:val="20"/>
          <w:szCs w:val="20"/>
        </w:rPr>
        <w:t xml:space="preserve"> In a similar experimental setup, free virus (9</w:t>
      </w:r>
      <w:r w:rsidR="00EF583C" w:rsidRPr="00214816">
        <w:rPr>
          <w:color w:val="000000"/>
          <w:sz w:val="20"/>
          <w:szCs w:val="20"/>
        </w:rPr>
        <w:t xml:space="preserve">x </w:t>
      </w:r>
      <w:r w:rsidRPr="00214816">
        <w:rPr>
          <w:color w:val="000000"/>
          <w:sz w:val="20"/>
          <w:szCs w:val="20"/>
        </w:rPr>
        <w:t>10⁵ PFU/chip) is perf</w:t>
      </w:r>
      <w:r w:rsidRPr="00E83118">
        <w:rPr>
          <w:color w:val="000000"/>
          <w:sz w:val="20"/>
          <w:szCs w:val="20"/>
        </w:rPr>
        <w:t xml:space="preserve">used in the BBB-on-chip in the presence of human hyperimmune </w:t>
      </w:r>
      <w:proofErr w:type="spellStart"/>
      <w:r>
        <w:rPr>
          <w:color w:val="000000"/>
          <w:sz w:val="20"/>
          <w:szCs w:val="20"/>
        </w:rPr>
        <w:t>IgGs</w:t>
      </w:r>
      <w:proofErr w:type="spellEnd"/>
      <w:r w:rsidRPr="00E83118">
        <w:rPr>
          <w:color w:val="000000"/>
          <w:sz w:val="20"/>
          <w:szCs w:val="20"/>
        </w:rPr>
        <w:t xml:space="preserve"> (1:8 dilution) and monitored for 5 days confirming viral neutralization.</w:t>
      </w:r>
    </w:p>
    <w:p w14:paraId="4B0B0938" w14:textId="77777777" w:rsidR="00214816" w:rsidRPr="00E83118" w:rsidRDefault="00214816" w:rsidP="00363D1D">
      <w:pPr>
        <w:pBdr>
          <w:top w:val="nil"/>
          <w:left w:val="nil"/>
          <w:bottom w:val="nil"/>
          <w:right w:val="nil"/>
          <w:between w:val="nil"/>
        </w:pBdr>
        <w:jc w:val="both"/>
        <w:rPr>
          <w:color w:val="000000"/>
          <w:sz w:val="20"/>
          <w:szCs w:val="20"/>
        </w:rPr>
      </w:pPr>
    </w:p>
    <w:p w14:paraId="79C97182" w14:textId="68E43D99" w:rsidR="00873C86" w:rsidRDefault="002E710B" w:rsidP="002E710B">
      <w:pPr>
        <w:pBdr>
          <w:top w:val="nil"/>
          <w:left w:val="nil"/>
          <w:bottom w:val="nil"/>
          <w:right w:val="nil"/>
          <w:between w:val="nil"/>
        </w:pBdr>
        <w:spacing w:line="276" w:lineRule="auto"/>
        <w:jc w:val="both"/>
        <w:rPr>
          <w:color w:val="000000"/>
        </w:rPr>
      </w:pPr>
      <w:r w:rsidRPr="00E635F2">
        <w:rPr>
          <w:color w:val="000000"/>
        </w:rPr>
        <w:t>Carrier cells should shield OVs from immune recognition and</w:t>
      </w:r>
      <w:r w:rsidR="00363D1D">
        <w:rPr>
          <w:color w:val="000000"/>
        </w:rPr>
        <w:t xml:space="preserve"> thereby</w:t>
      </w:r>
      <w:r w:rsidRPr="00E635F2">
        <w:rPr>
          <w:color w:val="000000"/>
        </w:rPr>
        <w:t xml:space="preserve"> enhance their therapeutic efficacy. </w:t>
      </w:r>
      <w:r w:rsidR="005D4F76" w:rsidRPr="005D4F76">
        <w:rPr>
          <w:color w:val="000000"/>
        </w:rPr>
        <w:t xml:space="preserve">To evaluate </w:t>
      </w:r>
      <w:r w:rsidR="00873C86">
        <w:rPr>
          <w:color w:val="000000"/>
        </w:rPr>
        <w:t>if</w:t>
      </w:r>
      <w:r w:rsidR="005D4F76" w:rsidRPr="005D4F76">
        <w:rPr>
          <w:color w:val="000000"/>
        </w:rPr>
        <w:t xml:space="preserve"> autologous monocytes can shield oHSV-1 from antibody-mediated neutralization, we </w:t>
      </w:r>
      <w:r w:rsidR="005D4F76">
        <w:rPr>
          <w:color w:val="000000"/>
        </w:rPr>
        <w:t>chose</w:t>
      </w:r>
      <w:r w:rsidR="005D4F76" w:rsidRPr="005D4F76">
        <w:rPr>
          <w:color w:val="000000"/>
        </w:rPr>
        <w:t xml:space="preserve"> a human hyperimmune IgG preparation that mimics the natural </w:t>
      </w:r>
      <w:r w:rsidR="005D4F76" w:rsidRPr="005D4F76">
        <w:rPr>
          <w:i/>
          <w:iCs/>
          <w:color w:val="000000"/>
        </w:rPr>
        <w:t>in vivo</w:t>
      </w:r>
      <w:r w:rsidR="005D4F76" w:rsidRPr="005D4F76">
        <w:rPr>
          <w:color w:val="000000"/>
        </w:rPr>
        <w:t xml:space="preserve"> immune response by targeting a broad range of pathogens, including HSV-1. To better approximate the complexity of the human immune environment, we tested two conditions: a 1:4 dilution of hyperimmune IgG, fully neutraliz</w:t>
      </w:r>
      <w:r w:rsidR="005D4F76">
        <w:rPr>
          <w:color w:val="000000"/>
        </w:rPr>
        <w:t>ing</w:t>
      </w:r>
      <w:r w:rsidR="005D4F76" w:rsidRPr="005D4F76">
        <w:rPr>
          <w:color w:val="000000"/>
        </w:rPr>
        <w:t xml:space="preserve"> oHSV-1-mCherry replication in </w:t>
      </w:r>
      <w:r w:rsidR="00097940">
        <w:rPr>
          <w:color w:val="000000"/>
        </w:rPr>
        <w:t>U87 GBM</w:t>
      </w:r>
      <w:r w:rsidR="005D4F76" w:rsidRPr="005D4F76">
        <w:rPr>
          <w:color w:val="000000"/>
        </w:rPr>
        <w:t xml:space="preserve"> cells, and a 1:8 dilution, partially restrict</w:t>
      </w:r>
      <w:r w:rsidR="005D4F76">
        <w:rPr>
          <w:color w:val="000000"/>
        </w:rPr>
        <w:t>ing</w:t>
      </w:r>
      <w:r w:rsidR="005D4F76" w:rsidRPr="005D4F76">
        <w:rPr>
          <w:color w:val="000000"/>
        </w:rPr>
        <w:t xml:space="preserve"> viral spread but not completely inhibit</w:t>
      </w:r>
      <w:r w:rsidR="005D4F76">
        <w:rPr>
          <w:color w:val="000000"/>
        </w:rPr>
        <w:t>ing</w:t>
      </w:r>
      <w:r w:rsidR="005D4F76" w:rsidRPr="005D4F76">
        <w:rPr>
          <w:color w:val="000000"/>
        </w:rPr>
        <w:t xml:space="preserve"> </w:t>
      </w:r>
      <w:r w:rsidR="00214816">
        <w:rPr>
          <w:color w:val="000000"/>
        </w:rPr>
        <w:t xml:space="preserve">viral </w:t>
      </w:r>
      <w:r w:rsidR="005D4F76" w:rsidRPr="005D4F76">
        <w:rPr>
          <w:color w:val="000000"/>
        </w:rPr>
        <w:t>replication</w:t>
      </w:r>
      <w:r w:rsidRPr="00E635F2">
        <w:rPr>
          <w:color w:val="000000"/>
        </w:rPr>
        <w:t xml:space="preserve"> (</w:t>
      </w:r>
      <w:r w:rsidRPr="00E635F2">
        <w:rPr>
          <w:b/>
          <w:bCs/>
          <w:color w:val="000000"/>
        </w:rPr>
        <w:t>Supplementary Figure S.4</w:t>
      </w:r>
      <w:r w:rsidRPr="00E635F2">
        <w:rPr>
          <w:color w:val="000000"/>
        </w:rPr>
        <w:t xml:space="preserve">). </w:t>
      </w:r>
    </w:p>
    <w:p w14:paraId="74C5C9A3" w14:textId="3A5A3277" w:rsidR="00E83118" w:rsidRDefault="00BC570A" w:rsidP="002E710B">
      <w:pPr>
        <w:pBdr>
          <w:top w:val="nil"/>
          <w:left w:val="nil"/>
          <w:bottom w:val="nil"/>
          <w:right w:val="nil"/>
          <w:between w:val="nil"/>
        </w:pBdr>
        <w:spacing w:line="276" w:lineRule="auto"/>
        <w:jc w:val="both"/>
      </w:pPr>
      <w:r w:rsidRPr="00BC570A">
        <w:rPr>
          <w:b/>
          <w:bCs/>
          <w:color w:val="000000"/>
        </w:rPr>
        <w:t>Figure 5</w:t>
      </w:r>
      <w:r w:rsidRPr="00BC570A">
        <w:rPr>
          <w:color w:val="000000"/>
        </w:rPr>
        <w:t xml:space="preserve"> summarizes the key findings from GBM spheroids treated under both standard static and BBB-on-chip conditions. In static microwell cultures, control spheroids exposed to free oHSV-1-mCherry in the absence of antibodies show progressively increasing viral infection, with red fluorescence spreading throughout the entire spheroid by day 7. Conversely, the presence of hyperimmune </w:t>
      </w:r>
      <w:proofErr w:type="spellStart"/>
      <w:r w:rsidRPr="00BC570A">
        <w:rPr>
          <w:color w:val="000000"/>
        </w:rPr>
        <w:t>IgGs</w:t>
      </w:r>
      <w:proofErr w:type="spellEnd"/>
      <w:r w:rsidRPr="00BC570A">
        <w:rPr>
          <w:color w:val="000000"/>
        </w:rPr>
        <w:t xml:space="preserve"> (1:8 dilution) markedly restricts viral dissemination: no red fluorescent cells are </w:t>
      </w:r>
      <w:r w:rsidRPr="00BC570A">
        <w:rPr>
          <w:color w:val="000000"/>
        </w:rPr>
        <w:lastRenderedPageBreak/>
        <w:t xml:space="preserve">observed during the first </w:t>
      </w:r>
      <w:r w:rsidR="00C9206A">
        <w:rPr>
          <w:color w:val="000000"/>
        </w:rPr>
        <w:t xml:space="preserve">4 </w:t>
      </w:r>
      <w:r w:rsidRPr="00BC570A">
        <w:rPr>
          <w:color w:val="000000"/>
        </w:rPr>
        <w:t>days, and only sparse fluorescence appears by day 7 (</w:t>
      </w:r>
      <w:r w:rsidRPr="00BC570A">
        <w:rPr>
          <w:b/>
          <w:bCs/>
          <w:color w:val="000000"/>
        </w:rPr>
        <w:t>Figure 5</w:t>
      </w:r>
      <w:r>
        <w:rPr>
          <w:b/>
          <w:bCs/>
          <w:color w:val="000000"/>
        </w:rPr>
        <w:t>.</w:t>
      </w:r>
      <w:r w:rsidRPr="00BC570A">
        <w:rPr>
          <w:b/>
          <w:bCs/>
          <w:color w:val="000000"/>
        </w:rPr>
        <w:t>A</w:t>
      </w:r>
      <w:r w:rsidRPr="00BC570A">
        <w:rPr>
          <w:color w:val="000000"/>
        </w:rPr>
        <w:t>).</w:t>
      </w:r>
      <w:r>
        <w:rPr>
          <w:color w:val="000000"/>
        </w:rPr>
        <w:t xml:space="preserve"> </w:t>
      </w:r>
      <w:r w:rsidRPr="00BC570A">
        <w:rPr>
          <w:color w:val="000000"/>
        </w:rPr>
        <w:t>When tumor spheroids are treated with primary human monocytes loaded with oHSV-1-mCherry (labeled with CellTracker™ Green), viral replication is evident by day 4 in both control and IgG-treated conditions, and the infection continues to spread through day 7 (</w:t>
      </w:r>
      <w:r w:rsidRPr="00BC570A">
        <w:rPr>
          <w:b/>
          <w:bCs/>
          <w:color w:val="000000"/>
        </w:rPr>
        <w:t>Figure 5.B</w:t>
      </w:r>
      <w:r w:rsidRPr="00BC570A">
        <w:rPr>
          <w:color w:val="000000"/>
        </w:rPr>
        <w:t>). These results demonstrate that monocytes can effectively shield oHSV-1-mCherry from antibody-mediated neutralization in static culture.</w:t>
      </w:r>
      <w:r w:rsidR="00F8468E">
        <w:rPr>
          <w:color w:val="000000"/>
        </w:rPr>
        <w:t xml:space="preserve"> </w:t>
      </w:r>
      <w:r w:rsidR="00426E42">
        <w:rPr>
          <w:color w:val="000000"/>
        </w:rPr>
        <w:t xml:space="preserve">Moving to </w:t>
      </w:r>
      <w:r w:rsidR="00214816">
        <w:rPr>
          <w:color w:val="000000"/>
        </w:rPr>
        <w:t>the</w:t>
      </w:r>
      <w:r w:rsidR="00F8468E" w:rsidRPr="00F8468E">
        <w:rPr>
          <w:color w:val="000000"/>
        </w:rPr>
        <w:t xml:space="preserve"> </w:t>
      </w:r>
      <w:r w:rsidR="00F8468E" w:rsidRPr="00426E42">
        <w:rPr>
          <w:i/>
          <w:iCs/>
          <w:color w:val="000000"/>
        </w:rPr>
        <w:t>in vitro</w:t>
      </w:r>
      <w:r w:rsidR="00F8468E" w:rsidRPr="00F8468E">
        <w:rPr>
          <w:color w:val="000000"/>
        </w:rPr>
        <w:t xml:space="preserve"> BBB-on-chip model</w:t>
      </w:r>
      <w:r w:rsidR="00D23CC2">
        <w:rPr>
          <w:color w:val="000000"/>
        </w:rPr>
        <w:t xml:space="preserve"> with GBM spheroids in the microwells of the tumor compartment</w:t>
      </w:r>
      <w:r w:rsidR="00426E42">
        <w:rPr>
          <w:color w:val="000000"/>
        </w:rPr>
        <w:t>, h</w:t>
      </w:r>
      <w:r w:rsidR="00F8468E" w:rsidRPr="00F8468E">
        <w:rPr>
          <w:color w:val="000000"/>
        </w:rPr>
        <w:t xml:space="preserve">yperimmune </w:t>
      </w:r>
      <w:proofErr w:type="spellStart"/>
      <w:r w:rsidR="00F8468E" w:rsidRPr="00F8468E">
        <w:rPr>
          <w:color w:val="000000"/>
        </w:rPr>
        <w:t>IgGs</w:t>
      </w:r>
      <w:proofErr w:type="spellEnd"/>
      <w:r w:rsidR="00F8468E" w:rsidRPr="00F8468E">
        <w:rPr>
          <w:color w:val="000000"/>
        </w:rPr>
        <w:t xml:space="preserve"> (1:8 dilution) </w:t>
      </w:r>
      <w:r w:rsidR="00426E42">
        <w:rPr>
          <w:color w:val="000000"/>
        </w:rPr>
        <w:t>are</w:t>
      </w:r>
      <w:r w:rsidR="00F8468E" w:rsidRPr="00F8468E">
        <w:rPr>
          <w:color w:val="000000"/>
        </w:rPr>
        <w:t xml:space="preserve"> introduced into the perfusion medium alongside either free virus or OV-loaded primary human monocytes. After 48 hours of perfusion, green fluorescence </w:t>
      </w:r>
      <w:r w:rsidR="004409F2">
        <w:rPr>
          <w:color w:val="000000"/>
        </w:rPr>
        <w:t>is</w:t>
      </w:r>
      <w:r w:rsidR="00F8468E" w:rsidRPr="00F8468E">
        <w:rPr>
          <w:color w:val="000000"/>
        </w:rPr>
        <w:t xml:space="preserve"> detected in the lower </w:t>
      </w:r>
      <w:r w:rsidR="006A55BF">
        <w:rPr>
          <w:color w:val="000000"/>
        </w:rPr>
        <w:t>apical compartment</w:t>
      </w:r>
      <w:r w:rsidR="00F8468E" w:rsidRPr="00F8468E">
        <w:rPr>
          <w:color w:val="000000"/>
        </w:rPr>
        <w:t xml:space="preserve"> of the chip, indicating that monocytes successfully crossed the barrier </w:t>
      </w:r>
      <w:r w:rsidR="006A55BF">
        <w:rPr>
          <w:color w:val="000000"/>
        </w:rPr>
        <w:t>shuttling</w:t>
      </w:r>
      <w:r w:rsidR="00F8468E" w:rsidRPr="00F8468E">
        <w:rPr>
          <w:color w:val="000000"/>
        </w:rPr>
        <w:t xml:space="preserve"> their viral cargo (</w:t>
      </w:r>
      <w:r w:rsidR="00F8468E" w:rsidRPr="006A55BF">
        <w:rPr>
          <w:b/>
          <w:bCs/>
          <w:color w:val="000000"/>
        </w:rPr>
        <w:t>Figure 5</w:t>
      </w:r>
      <w:r w:rsidR="006A55BF">
        <w:rPr>
          <w:b/>
          <w:bCs/>
          <w:color w:val="000000"/>
        </w:rPr>
        <w:t>.</w:t>
      </w:r>
      <w:r w:rsidR="00F8468E" w:rsidRPr="006A55BF">
        <w:rPr>
          <w:b/>
          <w:bCs/>
          <w:color w:val="000000"/>
        </w:rPr>
        <w:t>C</w:t>
      </w:r>
      <w:r w:rsidR="00F8468E" w:rsidRPr="00F8468E">
        <w:rPr>
          <w:color w:val="000000"/>
        </w:rPr>
        <w:t>). At the same time point, red fluorescence confirmed viral transmission from monocytes to tumor cells. In contrast, chips perfused with free oHSV-1-mCherry exhibit no detectable red fluorescence, confirming vir</w:t>
      </w:r>
      <w:r w:rsidR="004409F2">
        <w:rPr>
          <w:color w:val="000000"/>
        </w:rPr>
        <w:t>al</w:t>
      </w:r>
      <w:r w:rsidR="00F8468E" w:rsidRPr="00F8468E">
        <w:rPr>
          <w:color w:val="000000"/>
        </w:rPr>
        <w:t xml:space="preserve"> neutraliz</w:t>
      </w:r>
      <w:r w:rsidR="004409F2">
        <w:rPr>
          <w:color w:val="000000"/>
        </w:rPr>
        <w:t>ation</w:t>
      </w:r>
      <w:r w:rsidR="00F8468E" w:rsidRPr="00F8468E">
        <w:rPr>
          <w:color w:val="000000"/>
        </w:rPr>
        <w:t xml:space="preserve"> in the presence of hyperimmune </w:t>
      </w:r>
      <w:proofErr w:type="spellStart"/>
      <w:r w:rsidR="00F8468E" w:rsidRPr="00F8468E">
        <w:rPr>
          <w:color w:val="000000"/>
        </w:rPr>
        <w:t>IgGs</w:t>
      </w:r>
      <w:proofErr w:type="spellEnd"/>
      <w:r w:rsidR="00F8468E" w:rsidRPr="00F8468E">
        <w:rPr>
          <w:color w:val="000000"/>
        </w:rPr>
        <w:t xml:space="preserve"> (</w:t>
      </w:r>
      <w:r w:rsidR="00F8468E" w:rsidRPr="002E13B7">
        <w:rPr>
          <w:b/>
          <w:bCs/>
          <w:color w:val="000000"/>
        </w:rPr>
        <w:t>Figure 5</w:t>
      </w:r>
      <w:r w:rsidR="002E13B7">
        <w:rPr>
          <w:b/>
          <w:bCs/>
          <w:color w:val="000000"/>
        </w:rPr>
        <w:t>.</w:t>
      </w:r>
      <w:r w:rsidR="00F8468E" w:rsidRPr="002E13B7">
        <w:rPr>
          <w:b/>
          <w:bCs/>
          <w:color w:val="000000"/>
        </w:rPr>
        <w:t>D</w:t>
      </w:r>
      <w:r w:rsidR="00F8468E" w:rsidRPr="00F8468E">
        <w:rPr>
          <w:color w:val="000000"/>
        </w:rPr>
        <w:t>).</w:t>
      </w:r>
    </w:p>
    <w:p w14:paraId="794652B3" w14:textId="77777777" w:rsidR="0004107D" w:rsidRPr="00E635F2" w:rsidRDefault="0004107D" w:rsidP="002E710B">
      <w:pPr>
        <w:pBdr>
          <w:top w:val="nil"/>
          <w:left w:val="nil"/>
          <w:bottom w:val="nil"/>
          <w:right w:val="nil"/>
          <w:between w:val="nil"/>
        </w:pBdr>
        <w:spacing w:line="276" w:lineRule="auto"/>
        <w:jc w:val="both"/>
        <w:rPr>
          <w:b/>
          <w:color w:val="000000"/>
        </w:rPr>
      </w:pPr>
    </w:p>
    <w:p w14:paraId="0000004F" w14:textId="0DD68203" w:rsidR="00C314E0" w:rsidRPr="00E635F2" w:rsidRDefault="003D595D" w:rsidP="002E710B">
      <w:pPr>
        <w:pBdr>
          <w:top w:val="nil"/>
          <w:left w:val="nil"/>
          <w:bottom w:val="nil"/>
          <w:right w:val="nil"/>
          <w:between w:val="nil"/>
        </w:pBdr>
        <w:spacing w:line="276" w:lineRule="auto"/>
        <w:jc w:val="both"/>
        <w:rPr>
          <w:b/>
          <w:color w:val="000000"/>
        </w:rPr>
      </w:pPr>
      <w:r w:rsidRPr="00E635F2">
        <w:rPr>
          <w:b/>
          <w:color w:val="000000"/>
        </w:rPr>
        <w:t>Conclusion</w:t>
      </w:r>
    </w:p>
    <w:p w14:paraId="440EE1A7" w14:textId="77777777" w:rsidR="00085256" w:rsidRDefault="00085256" w:rsidP="00085256">
      <w:pPr>
        <w:pBdr>
          <w:top w:val="nil"/>
          <w:left w:val="nil"/>
          <w:bottom w:val="nil"/>
          <w:right w:val="nil"/>
          <w:between w:val="nil"/>
        </w:pBdr>
        <w:spacing w:line="276" w:lineRule="auto"/>
        <w:jc w:val="both"/>
      </w:pPr>
      <w:r w:rsidRPr="00E635F2">
        <w:t xml:space="preserve">Previous studies, including our own, </w:t>
      </w:r>
      <w:r>
        <w:t>have shown</w:t>
      </w:r>
      <w:r w:rsidRPr="00E635F2">
        <w:t xml:space="preserve"> that monocytes are not fully permissive to HSV-1 replication. </w:t>
      </w:r>
      <w:r w:rsidRPr="00E635F2">
        <w:fldChar w:fldCharType="begin" w:fldLock="1"/>
      </w:r>
      <w:r w:rsidRPr="00E635F2">
        <w:instrText>ADDIN CSL_CITATION {"citationItems":[{"id":"ITEM-1","itemData":{"DOI":"10.3390/ijms24119255","ISSN":"1422-0067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sciences","id":"ITEM-1","issue":"11","issued":{"date-parts":[["2023","5"]]},"language":"eng","publisher-place":"Switzerland","title":"Human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Cancer.","type":"article-journal","volume":"24"},"uris":["http://www.mendeley.com/documents/?uuid=96b049d9-ab9b-4e9a-819f-6c57643becef"]},{"id":"ITEM-2","itemData":{"DOI":"10.1099/0022-1317-52-2-381","ISSN":"0022-1317 (Print)","PMID":"6270239","abstract":"Monocyte-enriched cultures of human blood leukocytes were exposed to herpes  simplex virus (HSV) at different multiplicities of infection (m.o.i., from about 10 to 0.001 p.f.u./cell). Highest maximum progeny virus titres were invariably obtained with low initial m.o.i., i.e. those between 0.01 and 0.0001 p.f.u./cell, while little if any infectious progeny was produced in cultures inoculated with the highest virus concentrations. By the time of maximum virus production, i.e. 5 to 7 days after inoculation, monocytes in the uninfected cultures had mostly differentiated to macrophages. This differentiation was partially inhibited in cultures initially exposed to the higher concentrations of HSV. Synthesis of HSV antigens was detected by indirect immunofluorescence both in the high m.o.i. cultures and in the productively infected cultures. By this criterion, a maximum of 10 to 15% of all adherent cells became infected in both culture types. It is suggested that the higher doses of HSV, by inhibiting cellular maturation, also prevent the subsequent completion of its own infectious cycle.","author":[{"dropping-particle":"","family":"Linnavuori","given":"K","non-dropping-particle":"","parse-names":false,"suffix":""},{"dropping-particle":"","family":"Hovi","given":"T","non-dropping-particle":"","parse-names":false,"suffix":""}],"container-title":"The Journal of general virology","id":"ITEM-2","issue":"Pt 2","issued":{"date-parts":[["1981","2"]]},"language":"eng","page":"381-385","publisher-place":"England","title":"Herpes simplex virus infection in human monocyte cultures: dose-dependent  inhibition of monocyte differentiation resulting in abortive infection.","type":"article-journal","volume":"52"},"uris":["http://www.mendeley.com/documents/?uuid=51410e74-aae2-4a21-8fe4-964bba8b1778"]}],"mendeley":{"formattedCitation":"&lt;sup&gt;[16,30]&lt;/sup&gt;","plainTextFormattedCitation":"[16,30]","previouslyFormattedCitation":"&lt;sup&gt;[16,30]&lt;/sup&gt;"},"properties":{"noteIndex":0},"schema":"https://github.com/citation-style-language/schema/raw/master/csl-citation.json"}</w:instrText>
      </w:r>
      <w:r w:rsidRPr="00E635F2">
        <w:fldChar w:fldCharType="separate"/>
      </w:r>
      <w:r w:rsidRPr="00E635F2">
        <w:rPr>
          <w:noProof/>
          <w:vertAlign w:val="superscript"/>
        </w:rPr>
        <w:t>[16,30]</w:t>
      </w:r>
      <w:r w:rsidRPr="00E635F2">
        <w:fldChar w:fldCharType="end"/>
      </w:r>
      <w:r w:rsidRPr="00E635F2">
        <w:t xml:space="preserve"> However, in </w:t>
      </w:r>
      <w:proofErr w:type="spellStart"/>
      <w:r w:rsidRPr="00E635F2">
        <w:t>transwell</w:t>
      </w:r>
      <w:proofErr w:type="spellEnd"/>
      <w:r>
        <w:t>-based</w:t>
      </w:r>
      <w:r w:rsidRPr="00E635F2">
        <w:t xml:space="preserve"> system</w:t>
      </w:r>
      <w:r>
        <w:t>s</w:t>
      </w:r>
      <w:r w:rsidRPr="00E635F2">
        <w:t xml:space="preserve">, monocytes infected </w:t>
      </w:r>
      <w:r>
        <w:t xml:space="preserve">with </w:t>
      </w:r>
      <w:r w:rsidRPr="00E635F2">
        <w:t xml:space="preserve">oHSV-1- </w:t>
      </w:r>
      <w:r>
        <w:t>retain the ability to</w:t>
      </w:r>
      <w:r w:rsidRPr="00E635F2">
        <w:t xml:space="preserve"> migrate toward </w:t>
      </w:r>
      <w:r>
        <w:t>tumor</w:t>
      </w:r>
      <w:r w:rsidRPr="00E635F2">
        <w:t xml:space="preserve"> cells, where viral replication is enhanced, </w:t>
      </w:r>
      <w:r>
        <w:t>leading to</w:t>
      </w:r>
      <w:r w:rsidRPr="00E635F2">
        <w:t xml:space="preserve"> selective oncolysis. Similar </w:t>
      </w:r>
      <w:r>
        <w:t>effects</w:t>
      </w:r>
      <w:r w:rsidRPr="009C2BDB">
        <w:t xml:space="preserve"> have been </w:t>
      </w:r>
      <w:r>
        <w:t>observed</w:t>
      </w:r>
      <w:r w:rsidRPr="009C2BDB">
        <w:t xml:space="preserve"> </w:t>
      </w:r>
      <w:r w:rsidRPr="00E635F2">
        <w:rPr>
          <w:i/>
        </w:rPr>
        <w:t>in vivo</w:t>
      </w:r>
      <w:r w:rsidRPr="00E635F2">
        <w:t xml:space="preserve"> </w:t>
      </w:r>
      <w:r>
        <w:t>using</w:t>
      </w:r>
      <w:r w:rsidRPr="00E635F2">
        <w:t xml:space="preserve"> the </w:t>
      </w:r>
      <w:proofErr w:type="spellStart"/>
      <w:r>
        <w:rPr>
          <w:rStyle w:val="Emphasis"/>
          <w:i w:val="0"/>
        </w:rPr>
        <w:t>c</w:t>
      </w:r>
      <w:r w:rsidRPr="00E635F2">
        <w:rPr>
          <w:rStyle w:val="Emphasis"/>
          <w:i w:val="0"/>
        </w:rPr>
        <w:t>horioallantoic</w:t>
      </w:r>
      <w:proofErr w:type="spellEnd"/>
      <w:r w:rsidRPr="00E635F2">
        <w:rPr>
          <w:rStyle w:val="Emphasis"/>
          <w:i w:val="0"/>
        </w:rPr>
        <w:t xml:space="preserve"> </w:t>
      </w:r>
      <w:r>
        <w:rPr>
          <w:rStyle w:val="Emphasis"/>
          <w:i w:val="0"/>
        </w:rPr>
        <w:t>m</w:t>
      </w:r>
      <w:r w:rsidRPr="00E635F2">
        <w:rPr>
          <w:rStyle w:val="Emphasis"/>
          <w:i w:val="0"/>
        </w:rPr>
        <w:t>embrane</w:t>
      </w:r>
      <w:r w:rsidRPr="00E635F2">
        <w:rPr>
          <w:i/>
        </w:rPr>
        <w:t xml:space="preserve"> </w:t>
      </w:r>
      <w:r w:rsidRPr="00E635F2">
        <w:rPr>
          <w:iCs/>
        </w:rPr>
        <w:t>(</w:t>
      </w:r>
      <w:r w:rsidRPr="00E635F2">
        <w:rPr>
          <w:rStyle w:val="Emphasis"/>
          <w:i w:val="0"/>
        </w:rPr>
        <w:t>CAM</w:t>
      </w:r>
      <w:r w:rsidRPr="00E635F2">
        <w:rPr>
          <w:iCs/>
        </w:rPr>
        <w:t>)</w:t>
      </w:r>
      <w:r w:rsidRPr="00E635F2">
        <w:t xml:space="preserve"> model.</w:t>
      </w:r>
      <w:r w:rsidRPr="00E635F2">
        <w:fldChar w:fldCharType="begin" w:fldLock="1"/>
      </w:r>
      <w:r w:rsidRPr="00E635F2">
        <w:instrText>ADDIN CSL_CITATION {"citationItems":[{"id":"ITEM-1","itemData":{"DOI":"10.3390/ijms24119255","ISSN":"1422-0067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sciences","id":"ITEM-1","issue":"11","issued":{"date-parts":[["2023","5"]]},"language":"eng","publisher-place":"Switzerland","title":"Human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lt;/sup&gt;","plainTextFormattedCitation":"[16]","previouslyFormattedCitation":"&lt;sup&gt;[16]&lt;/sup&gt;"},"properties":{"noteIndex":0},"schema":"https://github.com/citation-style-language/schema/raw/master/csl-citation.json"}</w:instrText>
      </w:r>
      <w:r w:rsidRPr="00E635F2">
        <w:fldChar w:fldCharType="separate"/>
      </w:r>
      <w:r w:rsidRPr="00E635F2">
        <w:rPr>
          <w:noProof/>
          <w:vertAlign w:val="superscript"/>
        </w:rPr>
        <w:t>[16]</w:t>
      </w:r>
      <w:r w:rsidRPr="00E635F2">
        <w:fldChar w:fldCharType="end"/>
      </w:r>
      <w:r w:rsidRPr="00E635F2">
        <w:rPr>
          <w:color w:val="000000"/>
        </w:rPr>
        <w:t xml:space="preserve"> </w:t>
      </w:r>
      <w:r w:rsidRPr="00E635F2">
        <w:t xml:space="preserve">In this study, </w:t>
      </w:r>
      <w:r w:rsidRPr="009C2BDB">
        <w:t xml:space="preserve">we </w:t>
      </w:r>
      <w:r>
        <w:t>expanded on these findings</w:t>
      </w:r>
      <w:r w:rsidRPr="009C2BDB">
        <w:t xml:space="preserve"> by developing and applying a dynamic, physiologically relevant BBB-on-chip platform to investigate interactions </w:t>
      </w:r>
      <w:r>
        <w:t>among</w:t>
      </w:r>
      <w:r w:rsidRPr="009C2BDB">
        <w:t xml:space="preserve"> monocytes, oncolytic viruses (OVs), and the blood–brain barrier (BBB</w:t>
      </w:r>
      <w:r w:rsidRPr="00E635F2">
        <w:t xml:space="preserve">). </w:t>
      </w:r>
    </w:p>
    <w:p w14:paraId="09F38A07" w14:textId="77777777" w:rsidR="00085256" w:rsidRDefault="00085256" w:rsidP="00085256">
      <w:pPr>
        <w:pBdr>
          <w:top w:val="nil"/>
          <w:left w:val="nil"/>
          <w:bottom w:val="nil"/>
          <w:right w:val="nil"/>
          <w:between w:val="nil"/>
        </w:pBdr>
        <w:spacing w:line="276" w:lineRule="auto"/>
        <w:jc w:val="both"/>
      </w:pPr>
      <w:r w:rsidRPr="00E635F2">
        <w:t xml:space="preserve">This model not only confirms the ability of both THP-1 and primary human </w:t>
      </w:r>
      <w:r>
        <w:t>monocytes</w:t>
      </w:r>
      <w:r w:rsidRPr="00E635F2">
        <w:t xml:space="preserve"> to traverse the </w:t>
      </w:r>
      <w:r>
        <w:t>BBB but</w:t>
      </w:r>
      <w:r w:rsidRPr="00E635F2">
        <w:t xml:space="preserve"> also demonstrates their potential to</w:t>
      </w:r>
      <w:r>
        <w:t xml:space="preserve"> deliver and</w:t>
      </w:r>
      <w:r w:rsidRPr="00E635F2">
        <w:t xml:space="preserve"> propagate viral infection to tumor cells within a controlled microenvironment that more </w:t>
      </w:r>
      <w:r>
        <w:t>closely mimics</w:t>
      </w:r>
      <w:r w:rsidRPr="00E635F2">
        <w:t xml:space="preserve"> </w:t>
      </w:r>
      <w:r w:rsidRPr="00E635F2">
        <w:rPr>
          <w:i/>
        </w:rPr>
        <w:t>in vivo</w:t>
      </w:r>
      <w:r w:rsidRPr="00E635F2">
        <w:t xml:space="preserve"> conditions. </w:t>
      </w:r>
      <w:r>
        <w:t>The</w:t>
      </w:r>
      <w:r w:rsidRPr="00E635F2">
        <w:t xml:space="preserve"> </w:t>
      </w:r>
      <w:r>
        <w:t xml:space="preserve">key </w:t>
      </w:r>
      <w:r w:rsidRPr="00E635F2">
        <w:t>findings are summarized below.</w:t>
      </w:r>
    </w:p>
    <w:p w14:paraId="5F02F786" w14:textId="77777777" w:rsidR="00085256" w:rsidRPr="001B6614" w:rsidRDefault="00085256" w:rsidP="00085256">
      <w:pPr>
        <w:pStyle w:val="ListParagraph"/>
        <w:numPr>
          <w:ilvl w:val="0"/>
          <w:numId w:val="3"/>
        </w:numPr>
        <w:pBdr>
          <w:top w:val="nil"/>
          <w:left w:val="nil"/>
          <w:bottom w:val="nil"/>
          <w:right w:val="nil"/>
          <w:between w:val="nil"/>
        </w:pBdr>
        <w:spacing w:line="276" w:lineRule="auto"/>
        <w:ind w:left="360"/>
        <w:jc w:val="both"/>
        <w:rPr>
          <w:rFonts w:ascii="Times New Roman" w:hAnsi="Times New Roman" w:cs="Times New Roman"/>
          <w:sz w:val="24"/>
          <w:szCs w:val="24"/>
          <w:lang w:val="en-US"/>
        </w:rPr>
      </w:pPr>
      <w:r w:rsidRPr="001B6614">
        <w:rPr>
          <w:rFonts w:ascii="Times New Roman" w:hAnsi="Times New Roman" w:cs="Times New Roman"/>
          <w:b/>
          <w:bCs/>
          <w:sz w:val="24"/>
          <w:szCs w:val="24"/>
          <w:lang w:val="en-US"/>
        </w:rPr>
        <w:t>Directed Monocyte Migration</w:t>
      </w:r>
      <w:r w:rsidRPr="001B6614">
        <w:rPr>
          <w:rFonts w:ascii="Times New Roman" w:hAnsi="Times New Roman" w:cs="Times New Roman"/>
          <w:sz w:val="24"/>
          <w:szCs w:val="24"/>
          <w:lang w:val="en-US"/>
        </w:rPr>
        <w:t xml:space="preserve">: </w:t>
      </w:r>
      <w:r w:rsidRPr="00C63C82">
        <w:rPr>
          <w:rFonts w:ascii="Times New Roman" w:hAnsi="Times New Roman" w:cs="Times New Roman"/>
          <w:sz w:val="24"/>
          <w:szCs w:val="24"/>
          <w:lang w:val="en-US"/>
        </w:rPr>
        <w:t xml:space="preserve">Monocytes preferentially migrate across the BBB in the presence of GBM spheroids, consistent with evidence that monocytes and tumor-associated macrophages (TAMs) are actively recruited to the glioma microenvironment through chemotactic cues </w:t>
      </w:r>
      <w:r w:rsidRPr="001B6614">
        <w:rPr>
          <w:rFonts w:ascii="Times New Roman" w:hAnsi="Times New Roman" w:cs="Times New Roman"/>
          <w:sz w:val="24"/>
          <w:szCs w:val="24"/>
          <w:lang w:val="en-US"/>
        </w:rPr>
        <w:t>(e.g., CD62L, CCL2, CXCL1, VEGF-A)</w:t>
      </w:r>
      <w:r>
        <w:rPr>
          <w:rFonts w:ascii="Times New Roman" w:hAnsi="Times New Roman" w:cs="Times New Roman"/>
          <w:sz w:val="24"/>
          <w:szCs w:val="24"/>
          <w:lang w:val="en-US"/>
        </w:rPr>
        <w:t xml:space="preserve"> and their</w:t>
      </w:r>
      <w:r w:rsidRPr="001B6614">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corresponding </w:t>
      </w:r>
      <w:r w:rsidRPr="001B6614">
        <w:rPr>
          <w:rFonts w:ascii="Times New Roman" w:hAnsi="Times New Roman" w:cs="Times New Roman"/>
          <w:sz w:val="24"/>
          <w:szCs w:val="24"/>
          <w:lang w:val="en-US"/>
        </w:rPr>
        <w:t xml:space="preserve">receptors </w:t>
      </w:r>
      <w:r>
        <w:rPr>
          <w:rFonts w:ascii="Times New Roman" w:hAnsi="Times New Roman" w:cs="Times New Roman"/>
          <w:sz w:val="24"/>
          <w:szCs w:val="24"/>
          <w:lang w:val="en-US"/>
        </w:rPr>
        <w:t>(e.g.</w:t>
      </w:r>
      <w:r w:rsidRPr="001B6614">
        <w:rPr>
          <w:rFonts w:ascii="Times New Roman" w:hAnsi="Times New Roman" w:cs="Times New Roman"/>
          <w:sz w:val="24"/>
          <w:szCs w:val="24"/>
          <w:lang w:val="en-US"/>
        </w:rPr>
        <w:t xml:space="preserve"> CD62R, CCR2, CX3CR1, and VEGFR1</w:t>
      </w:r>
      <w:r>
        <w:rPr>
          <w:rFonts w:ascii="Times New Roman" w:hAnsi="Times New Roman" w:cs="Times New Roman"/>
          <w:sz w:val="24"/>
          <w:szCs w:val="24"/>
          <w:lang w:val="en-US"/>
        </w:rPr>
        <w:t>)</w:t>
      </w:r>
      <w:r w:rsidRPr="001B6614">
        <w:rPr>
          <w:rFonts w:ascii="Times New Roman" w:hAnsi="Times New Roman" w:cs="Times New Roman"/>
          <w:sz w:val="24"/>
          <w:szCs w:val="24"/>
          <w:lang w:val="en-US"/>
        </w:rPr>
        <w:t>.</w:t>
      </w:r>
      <w:r w:rsidRPr="001B6614">
        <w:rPr>
          <w:rFonts w:ascii="Times New Roman" w:hAnsi="Times New Roman" w:cs="Times New Roman"/>
          <w:sz w:val="24"/>
          <w:szCs w:val="24"/>
          <w:lang w:val="en-US"/>
        </w:rPr>
        <w:fldChar w:fldCharType="begin" w:fldLock="1"/>
      </w:r>
      <w:r w:rsidRPr="001B6614">
        <w:rPr>
          <w:rFonts w:ascii="Times New Roman" w:hAnsi="Times New Roman" w:cs="Times New Roman"/>
          <w:sz w:val="24"/>
          <w:szCs w:val="24"/>
          <w:lang w:val="en-US"/>
        </w:rPr>
        <w:instrText>ADDIN CSL_CITATION {"citationItems":[{"id":"ITEM-1","itemData":{"DOI":"10.3390/brainsci13040542","ISSN":"2076-3425 (Print)","PMID":"37190507","abstract":"Gliomas are primary malignant brain tumors. These tumors seem to be more and more  frequent, not only because of a true increase in their incidence, but also due to the increase in life expectancy of the general population. Among gliomas, malignant gliomas and more specifically glioblastomas (GBM) are a challenge in their diagnosis and treatment. There are few effective therapies for these tumors, and patients with GBM fare poorly, even after aggressive surgery, chemotherapy, and radiation. Over the last decade, it is now appreciated that these tumors are composed of numerous distinct tumoral and non-tumoral cell populations, which could each influence the overall tumor biology and response to therapies. Monocytes have been proved to actively participate in tumor growth, giving rise to the support of tumor-associated macrophages (TAMs). In GBM, TAMs represent up to one half of the tumor mass cells, including both infiltrating macrophages and resident brain microglia. Infiltrating macrophages/monocytes constituted ~ 85% of the total TAM population, they have immune functions, and they can release a wide array of growth factors and cytokines in response to those factors produced by tumor and non-tumor cells from the tumor microenvironment (TME). A brief review of the literature shows that this cell population has been increasingly studied in GBM TME to understand its role in tumor progression and therapeutic resistance. Through the knowledge of its biology and protumoral function, the development of therapeutic strategies that employ their recruitment as well as the modulation of their immunological phenotype, and even the eradication of the cell population, can be harnessed for therapeutic benefit. This revision aims to summarize GBM TME and localization in tumor niches with special focus on TAM population, its origin and functions in tumor progression and resistance to conventional and experimental GBM treatments. Moreover, recent advances on the development of TAM cell targeting and new cellular therapeutic strategies based on monocyte/macrophages recruitment to eradicate GBM are discussed as complementary therapeutics.","author":[{"dropping-particle":"","family":"Caverzán","given":"Matías Daniel","non-dropping-particle":"","parse-names":false,"suffix":""},{"dropping-particle":"","family":"Beaugé","given":"Lucía","non-dropping-particle":"","parse-names":false,"suffix":""},{"dropping-particle":"","family":"Oliveda","given":"Paula Martina","non-dropping-particle":"","parse-names":false,"suffix":""},{"dropping-particle":"","family":"Cesca González","given":"Bruno","non-dropping-particle":"","parse-names":false,"suffix":""},{"dropping-particle":"","family":"Bühler","given":"Eugenia Micaela","non-dropping-particle":"","parse-names":false,"suffix":""},{"dropping-particle":"","family":"Ibarra","given":"Luis Exequiel","non-dropping-particle":"","parse-names":false,"suffix":""}],"container-title":"Brain sciences","id":"ITEM-1","issue":"4","issued":{"date-parts":[["2023","3"]]},"language":"eng","publisher-place":"Switzerland","title":"Exploring Monocytes-Macrophages in Immune Microenvironment of Glioblastoma for  the Design of Novel Therapeutic Strategies.","type":"article-journal","volume":"13"},"uris":["http://www.mendeley.com/documents/?uuid=d683ab37-f991-45de-a934-acd158b7a4be"]}],"mendeley":{"formattedCitation":"&lt;sup&gt;[31]&lt;/sup&gt;","plainTextFormattedCitation":"[31]","previouslyFormattedCitation":"&lt;sup&gt;[31]&lt;/sup&gt;"},"properties":{"noteIndex":0},"schema":"https://github.com/citation-style-language/schema/raw/master/csl-citation.json"}</w:instrText>
      </w:r>
      <w:r w:rsidRPr="001B6614">
        <w:rPr>
          <w:rFonts w:ascii="Times New Roman" w:hAnsi="Times New Roman" w:cs="Times New Roman"/>
          <w:sz w:val="24"/>
          <w:szCs w:val="24"/>
          <w:lang w:val="en-US"/>
        </w:rPr>
        <w:fldChar w:fldCharType="separate"/>
      </w:r>
      <w:r w:rsidRPr="001B6614">
        <w:rPr>
          <w:rFonts w:ascii="Times New Roman" w:hAnsi="Times New Roman" w:cs="Times New Roman"/>
          <w:noProof/>
          <w:sz w:val="24"/>
          <w:szCs w:val="24"/>
          <w:vertAlign w:val="superscript"/>
          <w:lang w:val="en-US"/>
        </w:rPr>
        <w:t>[31]</w:t>
      </w:r>
      <w:r w:rsidRPr="001B6614">
        <w:rPr>
          <w:rFonts w:ascii="Times New Roman" w:hAnsi="Times New Roman" w:cs="Times New Roman"/>
          <w:sz w:val="24"/>
          <w:szCs w:val="24"/>
          <w:lang w:val="en-US"/>
        </w:rPr>
        <w:fldChar w:fldCharType="end"/>
      </w:r>
      <w:r w:rsidRPr="001B6614">
        <w:rPr>
          <w:rFonts w:ascii="Times New Roman" w:hAnsi="Times New Roman" w:cs="Times New Roman"/>
          <w:sz w:val="24"/>
          <w:szCs w:val="24"/>
          <w:lang w:val="en-US"/>
        </w:rPr>
        <w:t xml:space="preserve"> </w:t>
      </w:r>
    </w:p>
    <w:p w14:paraId="0FDEA660" w14:textId="626CA207" w:rsidR="00085256" w:rsidRPr="00AE6320" w:rsidRDefault="00085256" w:rsidP="00085256">
      <w:pPr>
        <w:pStyle w:val="ListParagraph"/>
        <w:numPr>
          <w:ilvl w:val="0"/>
          <w:numId w:val="3"/>
        </w:numPr>
        <w:pBdr>
          <w:top w:val="nil"/>
          <w:left w:val="nil"/>
          <w:bottom w:val="nil"/>
          <w:right w:val="nil"/>
          <w:between w:val="nil"/>
        </w:pBdr>
        <w:spacing w:line="276" w:lineRule="auto"/>
        <w:ind w:left="360"/>
        <w:jc w:val="both"/>
        <w:rPr>
          <w:rFonts w:ascii="Times New Roman" w:hAnsi="Times New Roman" w:cs="Times New Roman"/>
          <w:sz w:val="24"/>
          <w:szCs w:val="24"/>
          <w:lang w:val="en-US"/>
        </w:rPr>
      </w:pPr>
      <w:r w:rsidRPr="00E635F2">
        <w:rPr>
          <w:rFonts w:ascii="Times New Roman" w:hAnsi="Times New Roman" w:cs="Times New Roman"/>
          <w:b/>
          <w:bCs/>
          <w:sz w:val="24"/>
          <w:szCs w:val="24"/>
          <w:lang w:val="en-US"/>
        </w:rPr>
        <w:t>Tumor-Triggered Viral Replication</w:t>
      </w:r>
      <w:r w:rsidRPr="00E635F2">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D63E5C">
        <w:rPr>
          <w:rFonts w:ascii="Times New Roman" w:hAnsi="Times New Roman" w:cs="Times New Roman"/>
          <w:sz w:val="24"/>
          <w:szCs w:val="24"/>
          <w:lang w:val="en-US"/>
        </w:rPr>
        <w:t xml:space="preserve">Infected monocytes do not release the virus </w:t>
      </w:r>
      <w:proofErr w:type="spellStart"/>
      <w:r w:rsidRPr="00D63E5C">
        <w:rPr>
          <w:rFonts w:ascii="Times New Roman" w:hAnsi="Times New Roman" w:cs="Times New Roman"/>
          <w:sz w:val="24"/>
          <w:szCs w:val="24"/>
          <w:lang w:val="en-US"/>
        </w:rPr>
        <w:t>en</w:t>
      </w:r>
      <w:proofErr w:type="spellEnd"/>
      <w:r w:rsidRPr="00D63E5C">
        <w:rPr>
          <w:rFonts w:ascii="Times New Roman" w:hAnsi="Times New Roman" w:cs="Times New Roman"/>
          <w:sz w:val="24"/>
          <w:szCs w:val="24"/>
          <w:lang w:val="en-US"/>
        </w:rPr>
        <w:t xml:space="preserve"> route nor infect BBB-resident cells. However, upon reaching GBM spheroids, viral replication is initiated, leading to robust infection and tumor cell death—comparable to direct free-virus treatment. These findings support the feasibility of using monocytes as safe, efficient viral carriers. Notably, monocyte differentiation triggered by tumor contact may enhance HSV-1 permissiveness, as suggested by previous reports</w:t>
      </w:r>
      <w:r w:rsidRPr="00E635F2">
        <w:rPr>
          <w:rFonts w:ascii="Times New Roman" w:hAnsi="Times New Roman" w:cs="Times New Roman"/>
          <w:sz w:val="24"/>
          <w:szCs w:val="24"/>
          <w:lang w:val="en-US"/>
        </w:rPr>
        <w:t>.</w:t>
      </w:r>
      <w:r w:rsidRPr="00E635F2">
        <w:rPr>
          <w:rFonts w:ascii="Times New Roman" w:hAnsi="Times New Roman" w:cs="Times New Roman"/>
          <w:sz w:val="24"/>
          <w:szCs w:val="24"/>
          <w:lang w:val="en-US"/>
        </w:rPr>
        <w:fldChar w:fldCharType="begin" w:fldLock="1"/>
      </w:r>
      <w:r w:rsidRPr="00E635F2">
        <w:rPr>
          <w:rFonts w:ascii="Times New Roman" w:hAnsi="Times New Roman" w:cs="Times New Roman"/>
          <w:sz w:val="24"/>
          <w:szCs w:val="24"/>
          <w:lang w:val="en-US"/>
        </w:rPr>
        <w:instrText>ADDIN CSL_CITATION {"citationItems":[{"id":"ITEM-1","itemData":{"DOI":"10.1099/0022-1317-52-2-381","ISSN":"0022-1317 (Print)","PMID":"6270239","abstract":"Monocyte-enriched cultures of human blood leukocytes were exposed to herpes  simplex virus (HSV) at different multiplicities of infection (m.o.i., from about 10 to 0.001 p.f.u./cell). Highest maximum progeny virus titres were invariably obtained with low initial m.o.i., i.e. those between 0.01 and 0.0001 p.f.u./cell, while little if any infectious progeny was produced in cultures inoculated with the highest virus concentrations. By the time of maximum virus production, i.e. 5 to 7 days after inoculation, monocytes in the uninfected cultures had mostly differentiated to macrophages. This differentiation was partially inhibited in cultures initially exposed to the higher concentrations of HSV. Synthesis of HSV antigens was detected by indirect immunofluorescence both in the high m.o.i. cultures and in the productively infected cultures. By this criterion, a maximum of 10 to 15% of all adherent cells became infected in both culture types. It is suggested that the higher doses of HSV, by inhibiting cellular maturation, also prevent the subsequent completion of its own infectious cycle.","author":[{"dropping-particle":"","family":"Linnavuori","given":"K","non-dropping-particle":"","parse-names":false,"suffix":""},{"dropping-particle":"","family":"Hovi","given":"T","non-dropping-particle":"","parse-names":false,"suffix":""}],"container-title":"The Journal of general virology","id":"ITEM-1","issue":"Pt 2","issued":{"date-parts":[["1981","2"]]},"language":"eng","page":"381-385","publisher-place":"England","title":"Herpes simplex virus infection in human monocyte cultures: dose-dependent  inhibition of monocyte differentiation resulting in abortive infection.","type":"article-journal","volume":"52"},"uris":["http://www.mendeley.com/documents/?uuid=51410e74-aae2-4a21-8fe4-964bba8b1778"]},{"id":"ITEM-2","itemData":{"DOI":"10.1016/0042-6822(83)90112-5","ISSN":"0042-6822 (Print)","PMID":"6195813","abstract":"Exposure of fresh human monocytes in culture to high or moderate concentrations  of herpes simplex virus (HSV) resulted in an abortive infection or in a highly restricted replication of the virus. Infectious progeny virus yields were obtained either by diluting the inoculum virus to multiplicities of 0.1-0.0001 PFU/cell, or by cultivation of the cells for a few days before exposure to the virus. Interferon was synthesized and released into the medium of monocyte cultures infected with the higher multiplicities, while the lower productive multiplicities or inoculations of HSV into mature macrophage cultures resulted in a production of only small amounts, if any, of interferon. Inhibition of the morphological differentiation of monocytes was seen in cultures infected with the higher multiplicities of HSV (m.o.i. 1.0-0.1 PFU/cell) and was not unlike that caused by exogenous interferon added into uninfected monocyte cultures. Antisera against the leukocyte interferon were able to enhance the production of infectious HSV in monocyte-macrophage cultures. These results suggest that interferon induced in monocytes by high multiplicities of HSV can prevent the productive replication of HSV. Apart from its possible direct antiviral effect interferon may cause this restriction of HSV replication by inhibiting the differentiation of host monocytes.","author":[{"dropping-particle":"","family":"Linnavuori","given":"K","non-dropping-particle":"","parse-names":false,"suffix":""},{"dropping-particle":"","family":"Hovi","given":"T","non-dropping-particle":"","parse-names":false,"suffix":""}],"container-title":"Virology","id":"ITEM-2","issue":"1","issued":{"date-parts":[["1983","10"]]},"language":"eng","page":"1-9","publisher-place":"United States","title":"Restricted replication of herpes simplex virus in human monocyte cultures: role  of interferon.","type":"article-journal","volume":"130"},"uris":["http://www.mendeley.com/documents/?uuid=b2f00b96-b9d9-4b04-bd95-068ea0921f45"]}],"mendeley":{"formattedCitation":"&lt;sup&gt;[30,32]&lt;/sup&gt;","plainTextFormattedCitation":"[30,32]","previouslyFormattedCitation":"&lt;sup&gt;[30,32]&lt;/sup&gt;"},"properties":{"noteIndex":0},"schema":"https://github.com/citation-style-language/schema/raw/master/csl-citation.json"}</w:instrText>
      </w:r>
      <w:r w:rsidRPr="00E635F2">
        <w:rPr>
          <w:rFonts w:ascii="Times New Roman" w:hAnsi="Times New Roman" w:cs="Times New Roman"/>
          <w:sz w:val="24"/>
          <w:szCs w:val="24"/>
          <w:lang w:val="en-US"/>
        </w:rPr>
        <w:fldChar w:fldCharType="separate"/>
      </w:r>
      <w:r w:rsidRPr="00E635F2">
        <w:rPr>
          <w:rFonts w:ascii="Times New Roman" w:hAnsi="Times New Roman" w:cs="Times New Roman"/>
          <w:noProof/>
          <w:sz w:val="24"/>
          <w:szCs w:val="24"/>
          <w:vertAlign w:val="superscript"/>
          <w:lang w:val="en-US"/>
        </w:rPr>
        <w:t>[30,32]</w:t>
      </w:r>
      <w:r w:rsidRPr="00E635F2">
        <w:rPr>
          <w:rFonts w:ascii="Times New Roman" w:hAnsi="Times New Roman" w:cs="Times New Roman"/>
          <w:sz w:val="24"/>
          <w:szCs w:val="24"/>
          <w:lang w:val="en-US"/>
        </w:rPr>
        <w:fldChar w:fldCharType="end"/>
      </w:r>
      <w:r w:rsidRPr="00B838E5">
        <w:rPr>
          <w:rFonts w:ascii="Times New Roman" w:eastAsia="Times New Roman" w:hAnsi="Times New Roman" w:cs="Times New Roman"/>
          <w:sz w:val="24"/>
          <w:szCs w:val="24"/>
          <w:lang w:val="en-US" w:eastAsia="ja-JP"/>
        </w:rPr>
        <w:t xml:space="preserve"> </w:t>
      </w:r>
      <w:r w:rsidRPr="00B838E5">
        <w:rPr>
          <w:rFonts w:ascii="Times New Roman" w:hAnsi="Times New Roman" w:cs="Times New Roman"/>
          <w:color w:val="000000"/>
          <w:sz w:val="24"/>
          <w:szCs w:val="24"/>
          <w:lang w:val="en-US"/>
        </w:rPr>
        <w:t>Our model provides a platform to systematically investigate this hypothesis.</w:t>
      </w:r>
    </w:p>
    <w:p w14:paraId="6BA16A6B" w14:textId="55707ED8" w:rsidR="00085256" w:rsidRPr="00E635F2" w:rsidRDefault="00085256" w:rsidP="00085256">
      <w:pPr>
        <w:pStyle w:val="ListParagraph"/>
        <w:numPr>
          <w:ilvl w:val="0"/>
          <w:numId w:val="3"/>
        </w:numPr>
        <w:pBdr>
          <w:top w:val="nil"/>
          <w:left w:val="nil"/>
          <w:bottom w:val="nil"/>
          <w:right w:val="nil"/>
          <w:between w:val="nil"/>
        </w:pBdr>
        <w:spacing w:line="276" w:lineRule="auto"/>
        <w:ind w:left="360"/>
        <w:jc w:val="both"/>
        <w:rPr>
          <w:rFonts w:ascii="Times New Roman" w:hAnsi="Times New Roman" w:cs="Times New Roman"/>
          <w:sz w:val="24"/>
          <w:szCs w:val="24"/>
          <w:lang w:val="en-US"/>
        </w:rPr>
      </w:pPr>
      <w:r w:rsidRPr="00E635F2">
        <w:rPr>
          <w:rFonts w:ascii="Times New Roman" w:hAnsi="Times New Roman" w:cs="Times New Roman"/>
          <w:b/>
          <w:bCs/>
          <w:color w:val="000000"/>
          <w:sz w:val="24"/>
          <w:szCs w:val="24"/>
          <w:lang w:val="en-US"/>
        </w:rPr>
        <w:t>Immune Shielding</w:t>
      </w:r>
      <w:r w:rsidRPr="00E635F2">
        <w:rPr>
          <w:rFonts w:ascii="Times New Roman" w:hAnsi="Times New Roman" w:cs="Times New Roman"/>
          <w:color w:val="000000"/>
          <w:sz w:val="24"/>
          <w:szCs w:val="24"/>
          <w:lang w:val="en-US"/>
        </w:rPr>
        <w:t xml:space="preserve">: </w:t>
      </w:r>
      <w:r w:rsidRPr="0027111B">
        <w:rPr>
          <w:rFonts w:ascii="Times New Roman" w:hAnsi="Times New Roman" w:cs="Times New Roman"/>
          <w:color w:val="000000"/>
          <w:sz w:val="24"/>
          <w:szCs w:val="24"/>
          <w:lang w:val="en-US"/>
        </w:rPr>
        <w:t xml:space="preserve">oHSV-1 carried by monocytes is effectively protected from neutralizing antibodies. Even in the presence of hyperimmune </w:t>
      </w:r>
      <w:proofErr w:type="spellStart"/>
      <w:r w:rsidRPr="0027111B">
        <w:rPr>
          <w:rFonts w:ascii="Times New Roman" w:hAnsi="Times New Roman" w:cs="Times New Roman"/>
          <w:color w:val="000000"/>
          <w:sz w:val="24"/>
          <w:szCs w:val="24"/>
          <w:lang w:val="en-US"/>
        </w:rPr>
        <w:t>IgGs</w:t>
      </w:r>
      <w:proofErr w:type="spellEnd"/>
      <w:r w:rsidRPr="0027111B">
        <w:rPr>
          <w:rFonts w:ascii="Times New Roman" w:hAnsi="Times New Roman" w:cs="Times New Roman"/>
          <w:color w:val="000000"/>
          <w:sz w:val="24"/>
          <w:szCs w:val="24"/>
          <w:lang w:val="en-US"/>
        </w:rPr>
        <w:t>, viral delivery and infection of GBM spheroids remain robust—unlike free virus, which is rapidly neutralized.</w:t>
      </w:r>
    </w:p>
    <w:p w14:paraId="2A7C77E5" w14:textId="77777777" w:rsidR="00085256" w:rsidRPr="00E635F2" w:rsidRDefault="00085256" w:rsidP="00085256">
      <w:pPr>
        <w:pStyle w:val="ListParagraph"/>
        <w:numPr>
          <w:ilvl w:val="0"/>
          <w:numId w:val="3"/>
        </w:numPr>
        <w:pBdr>
          <w:top w:val="nil"/>
          <w:left w:val="nil"/>
          <w:bottom w:val="nil"/>
          <w:right w:val="nil"/>
          <w:between w:val="nil"/>
        </w:pBdr>
        <w:spacing w:line="276" w:lineRule="auto"/>
        <w:ind w:left="360"/>
        <w:jc w:val="both"/>
        <w:rPr>
          <w:rFonts w:ascii="Times New Roman" w:hAnsi="Times New Roman" w:cs="Times New Roman"/>
          <w:sz w:val="24"/>
          <w:szCs w:val="24"/>
          <w:lang w:val="en-US"/>
        </w:rPr>
      </w:pPr>
      <w:r w:rsidRPr="00E635F2">
        <w:rPr>
          <w:rFonts w:ascii="Times New Roman" w:hAnsi="Times New Roman" w:cs="Times New Roman"/>
          <w:b/>
          <w:bCs/>
          <w:color w:val="000000"/>
          <w:sz w:val="24"/>
          <w:szCs w:val="24"/>
          <w:lang w:val="en-US"/>
        </w:rPr>
        <w:t>Localized Infection Control</w:t>
      </w:r>
      <w:r w:rsidRPr="00E635F2">
        <w:rPr>
          <w:rFonts w:ascii="Times New Roman" w:hAnsi="Times New Roman" w:cs="Times New Roman"/>
          <w:color w:val="000000"/>
          <w:sz w:val="24"/>
          <w:szCs w:val="24"/>
          <w:lang w:val="en-US"/>
        </w:rPr>
        <w:t xml:space="preserve">: </w:t>
      </w:r>
      <w:r w:rsidRPr="0027111B">
        <w:rPr>
          <w:rFonts w:ascii="Times New Roman" w:hAnsi="Times New Roman" w:cs="Times New Roman"/>
          <w:color w:val="000000"/>
          <w:sz w:val="24"/>
          <w:szCs w:val="24"/>
          <w:lang w:val="en-US"/>
        </w:rPr>
        <w:t>Monocytes restrict viral delivery to the tumor site, avoiding off-target infection of other cellular compartments, including the BBB itself.</w:t>
      </w:r>
    </w:p>
    <w:p w14:paraId="04104AC3" w14:textId="77777777" w:rsidR="00085256" w:rsidRDefault="00085256" w:rsidP="00085256">
      <w:pPr>
        <w:pBdr>
          <w:top w:val="nil"/>
          <w:left w:val="nil"/>
          <w:bottom w:val="nil"/>
          <w:right w:val="nil"/>
          <w:between w:val="nil"/>
        </w:pBdr>
        <w:spacing w:line="276" w:lineRule="auto"/>
        <w:jc w:val="both"/>
      </w:pPr>
      <w:r>
        <w:lastRenderedPageBreak/>
        <w:t>Taken together</w:t>
      </w:r>
      <w:r w:rsidRPr="00E635F2">
        <w:t xml:space="preserve">, our </w:t>
      </w:r>
      <w:r>
        <w:t>results</w:t>
      </w:r>
      <w:r w:rsidRPr="00E635F2">
        <w:t xml:space="preserve"> support the potential of autologous monocytes as </w:t>
      </w:r>
      <w:r>
        <w:t xml:space="preserve">a </w:t>
      </w:r>
      <w:r w:rsidRPr="00E635F2">
        <w:t xml:space="preserve">“Trojan horse” </w:t>
      </w:r>
      <w:r>
        <w:t xml:space="preserve">strategy </w:t>
      </w:r>
      <w:r w:rsidRPr="00E635F2">
        <w:t xml:space="preserve">for the systemic delivery of oncolytic viruses </w:t>
      </w:r>
      <w:r>
        <w:t xml:space="preserve">(Ovs) </w:t>
      </w:r>
      <w:r w:rsidRPr="00E635F2">
        <w:t>to glioblastoma</w:t>
      </w:r>
      <w:r>
        <w:t xml:space="preserve"> (GBM)</w:t>
      </w:r>
      <w:r w:rsidRPr="00E635F2">
        <w:t xml:space="preserve">. </w:t>
      </w:r>
      <w:r>
        <w:t xml:space="preserve"> </w:t>
      </w:r>
      <w:r w:rsidRPr="0027111B">
        <w:t>This approach offers a minimally invasive, immune-evasive, and targeted therapeutic alternative to intracranial injection, with important implications for patient compliance and clinical translation. Future studies will be essential to further optimize this method and evaluate its safety and therapeutic efficacy in preclinical and clinical settings.</w:t>
      </w:r>
    </w:p>
    <w:p w14:paraId="1200DA14" w14:textId="77777777" w:rsidR="00897004" w:rsidRPr="00E635F2" w:rsidRDefault="00897004" w:rsidP="00CC32DC">
      <w:pPr>
        <w:pBdr>
          <w:top w:val="nil"/>
          <w:left w:val="nil"/>
          <w:bottom w:val="nil"/>
          <w:right w:val="nil"/>
          <w:between w:val="nil"/>
        </w:pBdr>
        <w:spacing w:line="276" w:lineRule="auto"/>
        <w:jc w:val="both"/>
        <w:rPr>
          <w:color w:val="000000"/>
        </w:rPr>
      </w:pPr>
    </w:p>
    <w:p w14:paraId="00000051" w14:textId="77777777" w:rsidR="00C314E0" w:rsidRPr="00E635F2" w:rsidRDefault="003D595D">
      <w:pPr>
        <w:numPr>
          <w:ilvl w:val="0"/>
          <w:numId w:val="2"/>
        </w:numPr>
        <w:pBdr>
          <w:top w:val="nil"/>
          <w:left w:val="nil"/>
          <w:bottom w:val="nil"/>
          <w:right w:val="nil"/>
          <w:between w:val="nil"/>
        </w:pBdr>
        <w:spacing w:after="160" w:line="259" w:lineRule="auto"/>
        <w:rPr>
          <w:b/>
          <w:color w:val="000000"/>
        </w:rPr>
      </w:pPr>
      <w:r w:rsidRPr="00E635F2">
        <w:rPr>
          <w:b/>
          <w:color w:val="000000"/>
        </w:rPr>
        <w:t>Experimental Section</w:t>
      </w:r>
    </w:p>
    <w:p w14:paraId="00000052" w14:textId="46B7DD17" w:rsidR="00C314E0" w:rsidRPr="00E635F2" w:rsidRDefault="003D595D" w:rsidP="00366A80">
      <w:pPr>
        <w:spacing w:before="280" w:after="280" w:line="276" w:lineRule="auto"/>
        <w:jc w:val="both"/>
        <w:rPr>
          <w:color w:val="000000"/>
        </w:rPr>
      </w:pPr>
      <w:r w:rsidRPr="00E635F2">
        <w:rPr>
          <w:i/>
        </w:rPr>
        <w:t>BBB-on-chip design and fabrication</w:t>
      </w:r>
      <w:r w:rsidRPr="00E635F2">
        <w:t xml:space="preserve">: The geometry of the BBB-on-chip </w:t>
      </w:r>
      <w:r w:rsidR="00192E47" w:rsidRPr="00E635F2">
        <w:t>was</w:t>
      </w:r>
      <w:r w:rsidRPr="00E635F2">
        <w:t xml:space="preserve"> designed using AutoCAD</w:t>
      </w:r>
      <w:r w:rsidRPr="00E635F2">
        <w:rPr>
          <w:vertAlign w:val="superscript"/>
        </w:rPr>
        <w:t>®</w:t>
      </w:r>
      <w:r w:rsidRPr="00E635F2">
        <w:rPr>
          <w:color w:val="000000"/>
        </w:rPr>
        <w:t xml:space="preserve"> software</w:t>
      </w:r>
      <w:r w:rsidR="00192E47" w:rsidRPr="00E635F2">
        <w:rPr>
          <w:color w:val="000000"/>
        </w:rPr>
        <w:t>,</w:t>
      </w:r>
      <w:r w:rsidRPr="00E635F2">
        <w:rPr>
          <w:color w:val="000000"/>
        </w:rPr>
        <w:t xml:space="preserve"> and </w:t>
      </w:r>
      <w:r w:rsidR="00192E47" w:rsidRPr="00E635F2">
        <w:rPr>
          <w:color w:val="000000"/>
        </w:rPr>
        <w:t>the</w:t>
      </w:r>
      <w:r w:rsidRPr="00E635F2">
        <w:rPr>
          <w:color w:val="000000"/>
        </w:rPr>
        <w:t xml:space="preserve"> master mold </w:t>
      </w:r>
      <w:r w:rsidR="00192E47" w:rsidRPr="00E635F2">
        <w:rPr>
          <w:color w:val="000000"/>
        </w:rPr>
        <w:t xml:space="preserve">was fabricated </w:t>
      </w:r>
      <w:r w:rsidRPr="00E635F2">
        <w:rPr>
          <w:color w:val="000000"/>
        </w:rPr>
        <w:t>on</w:t>
      </w:r>
      <w:r w:rsidR="00192E47" w:rsidRPr="00E635F2">
        <w:rPr>
          <w:color w:val="000000"/>
        </w:rPr>
        <w:t xml:space="preserve"> a</w:t>
      </w:r>
      <w:r w:rsidRPr="00E635F2">
        <w:rPr>
          <w:color w:val="000000"/>
        </w:rPr>
        <w:t xml:space="preserve"> silicon wafer using standard</w:t>
      </w:r>
      <w:r w:rsidR="00851C4E">
        <w:t xml:space="preserve"> </w:t>
      </w:r>
      <w:r w:rsidRPr="00E635F2">
        <w:rPr>
          <w:color w:val="000000"/>
        </w:rPr>
        <w:t>photolithography</w:t>
      </w:r>
      <w:r w:rsidR="0033058E" w:rsidRPr="00E635F2">
        <w:rPr>
          <w:color w:val="000000"/>
        </w:rPr>
        <w:t>.</w:t>
      </w:r>
      <w:r w:rsidR="002147E7" w:rsidRPr="00E635F2">
        <w:rPr>
          <w:color w:val="000000"/>
        </w:rPr>
        <w:fldChar w:fldCharType="begin" w:fldLock="1"/>
      </w:r>
      <w:r w:rsidR="001D6B1C" w:rsidRPr="00E635F2">
        <w:rPr>
          <w:color w:val="000000"/>
        </w:rPr>
        <w:instrText>ADDIN CSL_CITATION {"citationItems":[{"id":"ITEM-1","itemData":{"author":[{"dropping-particle":"","family":"Xia","given":"Y","non-dropping-particle":"","parse-names":false,"suffix":""},{"dropping-particle":"","family":"Whitesides","given":"G M","non-dropping-particle":"","parse-names":false,"suffix":""}],"container-title":"Angew. Chem., Int. Ed. Engl.","id":"ITEM-1","issue":"5","issued":{"date-parts":[["1998"]]},"page":"550-575","title":"Soft lithography","type":"article-journal","volume":"37"},"uris":["http://www.mendeley.com/documents/?uuid=4de282a7-478a-47a0-992a-e36f0583e109"]}],"mendeley":{"formattedCitation":"&lt;sup&gt;[33]&lt;/sup&gt;","plainTextFormattedCitation":"[33]","previouslyFormattedCitation":"&lt;sup&gt;[33]&lt;/sup&gt;"},"properties":{"noteIndex":0},"schema":"https://github.com/citation-style-language/schema/raw/master/csl-citation.json"}</w:instrText>
      </w:r>
      <w:r w:rsidR="002147E7" w:rsidRPr="00E635F2">
        <w:rPr>
          <w:color w:val="000000"/>
        </w:rPr>
        <w:fldChar w:fldCharType="separate"/>
      </w:r>
      <w:r w:rsidR="00485090" w:rsidRPr="00E635F2">
        <w:rPr>
          <w:noProof/>
          <w:color w:val="000000"/>
          <w:vertAlign w:val="superscript"/>
        </w:rPr>
        <w:t>[33]</w:t>
      </w:r>
      <w:r w:rsidR="002147E7" w:rsidRPr="00E635F2">
        <w:rPr>
          <w:color w:val="000000"/>
        </w:rPr>
        <w:fldChar w:fldCharType="end"/>
      </w:r>
      <w:r w:rsidRPr="00E635F2">
        <w:rPr>
          <w:color w:val="000000"/>
        </w:rPr>
        <w:t xml:space="preserve"> The microfluidic device </w:t>
      </w:r>
      <w:r w:rsidR="00192E47" w:rsidRPr="00E635F2">
        <w:rPr>
          <w:color w:val="000000"/>
        </w:rPr>
        <w:t>was</w:t>
      </w:r>
      <w:r w:rsidRPr="00E635F2">
        <w:rPr>
          <w:color w:val="000000"/>
        </w:rPr>
        <w:t xml:space="preserve"> replica molded in polydimethylsiloxane (PDMS; </w:t>
      </w:r>
      <w:proofErr w:type="spellStart"/>
      <w:r w:rsidRPr="00E635F2">
        <w:rPr>
          <w:color w:val="000000"/>
        </w:rPr>
        <w:t>Sylgard</w:t>
      </w:r>
      <w:proofErr w:type="spellEnd"/>
      <w:r w:rsidRPr="00E635F2">
        <w:t xml:space="preserve"> </w:t>
      </w:r>
      <w:r w:rsidRPr="00E635F2">
        <w:rPr>
          <w:color w:val="000000"/>
        </w:rPr>
        <w:t xml:space="preserve">184; Dow Corning, Midland, MI, USA) using soft lithography </w:t>
      </w:r>
      <w:r w:rsidR="00192E47" w:rsidRPr="00E635F2">
        <w:rPr>
          <w:color w:val="000000"/>
        </w:rPr>
        <w:t>techniques</w:t>
      </w:r>
      <w:r w:rsidRPr="00E635F2">
        <w:rPr>
          <w:color w:val="000000"/>
        </w:rPr>
        <w:t>.</w:t>
      </w:r>
      <w:r w:rsidR="001D6B1C" w:rsidRPr="00E635F2">
        <w:rPr>
          <w:color w:val="000000"/>
        </w:rPr>
        <w:fldChar w:fldCharType="begin" w:fldLock="1"/>
      </w:r>
      <w:r w:rsidR="001D6B1C" w:rsidRPr="00E635F2">
        <w:rPr>
          <w:color w:val="000000"/>
        </w:rPr>
        <w:instrText>ADDIN CSL_CITATION {"citationItems":[{"id":"ITEM-1","itemData":{"author":[{"dropping-particle":"","family":"Xia","given":"Y","non-dropping-particle":"","parse-names":false,"suffix":""},{"dropping-particle":"","family":"Whitesides","given":"G M","non-dropping-particle":"","parse-names":false,"suffix":""}],"container-title":"Angew. Chem., Int. Ed. Engl.","id":"ITEM-1","issue":"5","issued":{"date-parts":[["1998"]]},"page":"550-575","title":"Soft lithography","type":"article-journal","volume":"37"},"uris":["http://www.mendeley.com/documents/?uuid=4de282a7-478a-47a0-992a-e36f0583e109"]}],"mendeley":{"formattedCitation":"&lt;sup&gt;[33]&lt;/sup&gt;","plainTextFormattedCitation":"[33]","previouslyFormattedCitation":"&lt;sup&gt;[33]&lt;/sup&gt;"},"properties":{"noteIndex":0},"schema":"https://github.com/citation-style-language/schema/raw/master/csl-citation.json"}</w:instrText>
      </w:r>
      <w:r w:rsidR="001D6B1C" w:rsidRPr="00E635F2">
        <w:rPr>
          <w:color w:val="000000"/>
        </w:rPr>
        <w:fldChar w:fldCharType="separate"/>
      </w:r>
      <w:r w:rsidR="001D6B1C" w:rsidRPr="00E635F2">
        <w:rPr>
          <w:noProof/>
          <w:color w:val="000000"/>
          <w:vertAlign w:val="superscript"/>
        </w:rPr>
        <w:t>[33]</w:t>
      </w:r>
      <w:r w:rsidR="001D6B1C" w:rsidRPr="00E635F2">
        <w:rPr>
          <w:color w:val="000000"/>
        </w:rPr>
        <w:fldChar w:fldCharType="end"/>
      </w:r>
      <w:r w:rsidRPr="00E635F2">
        <w:rPr>
          <w:color w:val="000000"/>
        </w:rPr>
        <w:t xml:space="preserve"> Briefly, </w:t>
      </w:r>
      <w:r w:rsidRPr="00E635F2">
        <w:t xml:space="preserve">PDMS pre-polymer (10:1 elastomer base to curing agent, </w:t>
      </w:r>
      <w:proofErr w:type="spellStart"/>
      <w:r w:rsidRPr="00E635F2">
        <w:t>wt</w:t>
      </w:r>
      <w:proofErr w:type="spellEnd"/>
      <w:r w:rsidRPr="00E635F2">
        <w:t>/</w:t>
      </w:r>
      <w:proofErr w:type="spellStart"/>
      <w:r w:rsidRPr="00E635F2">
        <w:t>wt</w:t>
      </w:r>
      <w:proofErr w:type="spellEnd"/>
      <w:r w:rsidRPr="00E635F2">
        <w:t xml:space="preserve">) </w:t>
      </w:r>
      <w:r w:rsidR="006F4A76" w:rsidRPr="00E635F2">
        <w:t>was</w:t>
      </w:r>
      <w:r w:rsidRPr="00E635F2">
        <w:t xml:space="preserve"> degassed and poured </w:t>
      </w:r>
      <w:r w:rsidR="006F4A76" w:rsidRPr="00E635F2">
        <w:t>over the</w:t>
      </w:r>
      <w:r w:rsidRPr="00E635F2">
        <w:t xml:space="preserve"> SU-8 (</w:t>
      </w:r>
      <w:proofErr w:type="spellStart"/>
      <w:r w:rsidRPr="00E635F2">
        <w:t>Microchem</w:t>
      </w:r>
      <w:proofErr w:type="spellEnd"/>
      <w:r w:rsidRPr="00E635F2">
        <w:t>, Newton, MA, USA)</w:t>
      </w:r>
      <w:r w:rsidR="006F4A76" w:rsidRPr="00E635F2">
        <w:t xml:space="preserve"> patterned wafer to imprint</w:t>
      </w:r>
      <w:r w:rsidRPr="00E635F2">
        <w:t xml:space="preserve"> the apical and basolateral geometr</w:t>
      </w:r>
      <w:r w:rsidR="006F4A76" w:rsidRPr="00E635F2">
        <w:t>ies</w:t>
      </w:r>
      <w:r w:rsidRPr="00E635F2">
        <w:t xml:space="preserve">. </w:t>
      </w:r>
      <w:r w:rsidRPr="00E635F2">
        <w:rPr>
          <w:color w:val="000000"/>
        </w:rPr>
        <w:t>After curing at 80 °C,</w:t>
      </w:r>
      <w:r w:rsidR="006F4A76" w:rsidRPr="00E635F2">
        <w:rPr>
          <w:color w:val="000000"/>
        </w:rPr>
        <w:t xml:space="preserve"> for 1 hour, the</w:t>
      </w:r>
      <w:r w:rsidRPr="00E635F2">
        <w:rPr>
          <w:color w:val="000000"/>
        </w:rPr>
        <w:t xml:space="preserve"> inlets and outlets </w:t>
      </w:r>
      <w:r w:rsidR="006F4A76" w:rsidRPr="00E635F2">
        <w:rPr>
          <w:color w:val="000000"/>
        </w:rPr>
        <w:t>were created using a 1 mm diameter biopsy punch</w:t>
      </w:r>
      <w:r w:rsidRPr="00E635F2">
        <w:rPr>
          <w:color w:val="000000"/>
        </w:rPr>
        <w:t xml:space="preserve">. A </w:t>
      </w:r>
      <w:r w:rsidR="006B2780" w:rsidRPr="00E635F2">
        <w:rPr>
          <w:color w:val="000000"/>
        </w:rPr>
        <w:t xml:space="preserve">transparent </w:t>
      </w:r>
      <w:r w:rsidRPr="00E635F2">
        <w:rPr>
          <w:color w:val="000000"/>
        </w:rPr>
        <w:t xml:space="preserve">polyester </w:t>
      </w:r>
      <w:r w:rsidR="006B2780" w:rsidRPr="00E635F2">
        <w:rPr>
          <w:color w:val="000000"/>
        </w:rPr>
        <w:t xml:space="preserve">membrane </w:t>
      </w:r>
      <w:r w:rsidRPr="00E635F2">
        <w:rPr>
          <w:color w:val="000000"/>
        </w:rPr>
        <w:t>(PETE</w:t>
      </w:r>
      <w:r w:rsidR="006B2780" w:rsidRPr="00E635F2">
        <w:rPr>
          <w:color w:val="000000"/>
        </w:rPr>
        <w:t xml:space="preserve">, </w:t>
      </w:r>
      <w:r w:rsidRPr="00E635F2">
        <w:rPr>
          <w:color w:val="000000"/>
        </w:rPr>
        <w:t xml:space="preserve">3 </w:t>
      </w:r>
      <w:proofErr w:type="spellStart"/>
      <w:r w:rsidRPr="00E635F2">
        <w:rPr>
          <w:color w:val="000000"/>
        </w:rPr>
        <w:t>μm</w:t>
      </w:r>
      <w:proofErr w:type="spellEnd"/>
      <w:r w:rsidRPr="00E635F2">
        <w:rPr>
          <w:color w:val="000000"/>
        </w:rPr>
        <w:t xml:space="preserve"> pore</w:t>
      </w:r>
      <w:r w:rsidR="006B2780" w:rsidRPr="00E635F2">
        <w:rPr>
          <w:color w:val="000000"/>
        </w:rPr>
        <w:t xml:space="preserve"> size</w:t>
      </w:r>
      <w:r w:rsidRPr="00E635F2">
        <w:rPr>
          <w:color w:val="000000"/>
        </w:rPr>
        <w:t xml:space="preserve">, 12 </w:t>
      </w:r>
      <w:proofErr w:type="spellStart"/>
      <w:r w:rsidRPr="00E635F2">
        <w:rPr>
          <w:color w:val="000000"/>
        </w:rPr>
        <w:t>μm</w:t>
      </w:r>
      <w:proofErr w:type="spellEnd"/>
      <w:r w:rsidRPr="00E635F2">
        <w:rPr>
          <w:color w:val="000000"/>
        </w:rPr>
        <w:t xml:space="preserve"> thickness, </w:t>
      </w:r>
      <w:proofErr w:type="spellStart"/>
      <w:r w:rsidRPr="00E635F2">
        <w:rPr>
          <w:color w:val="000000"/>
        </w:rPr>
        <w:t>Sterlitech</w:t>
      </w:r>
      <w:proofErr w:type="spellEnd"/>
      <w:r w:rsidRPr="00E635F2">
        <w:rPr>
          <w:color w:val="000000"/>
        </w:rPr>
        <w:t xml:space="preserve"> Corp, Kent, WA, USA) </w:t>
      </w:r>
      <w:r w:rsidR="006B2780" w:rsidRPr="00E635F2">
        <w:rPr>
          <w:color w:val="000000"/>
        </w:rPr>
        <w:t>was</w:t>
      </w:r>
      <w:r w:rsidRPr="00E635F2">
        <w:rPr>
          <w:color w:val="000000"/>
        </w:rPr>
        <w:t xml:space="preserve"> sandwiched and </w:t>
      </w:r>
      <w:r w:rsidR="006B2780" w:rsidRPr="00E635F2">
        <w:rPr>
          <w:color w:val="000000"/>
        </w:rPr>
        <w:t>bonded</w:t>
      </w:r>
      <w:r w:rsidRPr="00E635F2">
        <w:rPr>
          <w:color w:val="000000"/>
        </w:rPr>
        <w:t xml:space="preserve"> between the apical and the basolateral PDMS layers using a plasma cleaner (Harrick Plasma, Ithaca, NY,</w:t>
      </w:r>
      <w:r w:rsidR="002147E7" w:rsidRPr="00E635F2">
        <w:rPr>
          <w:color w:val="000000"/>
        </w:rPr>
        <w:t xml:space="preserve"> </w:t>
      </w:r>
      <w:r w:rsidRPr="00E635F2">
        <w:rPr>
          <w:color w:val="000000"/>
        </w:rPr>
        <w:t>USA)</w:t>
      </w:r>
      <w:r w:rsidR="0033058E" w:rsidRPr="00E635F2">
        <w:rPr>
          <w:color w:val="000000"/>
        </w:rPr>
        <w:t>.</w:t>
      </w:r>
      <w:r w:rsidRPr="00E635F2">
        <w:rPr>
          <w:color w:val="000000"/>
        </w:rPr>
        <w:t xml:space="preserve"> The assembled BBB-on-chip devices </w:t>
      </w:r>
      <w:r w:rsidR="006B2780" w:rsidRPr="00E635F2">
        <w:rPr>
          <w:color w:val="000000"/>
        </w:rPr>
        <w:t>were</w:t>
      </w:r>
      <w:r w:rsidRPr="00E635F2">
        <w:rPr>
          <w:color w:val="000000"/>
        </w:rPr>
        <w:t xml:space="preserve"> </w:t>
      </w:r>
      <w:r w:rsidR="004B217B">
        <w:rPr>
          <w:color w:val="000000"/>
        </w:rPr>
        <w:t>bound</w:t>
      </w:r>
      <w:r w:rsidRPr="00E635F2">
        <w:rPr>
          <w:color w:val="000000"/>
        </w:rPr>
        <w:t xml:space="preserve"> to glass coverslips </w:t>
      </w:r>
      <w:r w:rsidR="006B2780" w:rsidRPr="00E635F2">
        <w:rPr>
          <w:color w:val="000000"/>
        </w:rPr>
        <w:t>via further</w:t>
      </w:r>
      <w:r w:rsidRPr="00E635F2">
        <w:rPr>
          <w:color w:val="000000"/>
        </w:rPr>
        <w:t xml:space="preserve"> plasma </w:t>
      </w:r>
      <w:r w:rsidR="006B2780" w:rsidRPr="00E635F2">
        <w:rPr>
          <w:color w:val="000000"/>
        </w:rPr>
        <w:t>treatment</w:t>
      </w:r>
      <w:r w:rsidRPr="00E635F2">
        <w:rPr>
          <w:color w:val="000000"/>
        </w:rPr>
        <w:t xml:space="preserve"> and sterilized with 70% ethanol </w:t>
      </w:r>
      <w:r w:rsidR="006B2780" w:rsidRPr="00E635F2">
        <w:rPr>
          <w:color w:val="000000"/>
        </w:rPr>
        <w:t>followed by</w:t>
      </w:r>
      <w:r w:rsidRPr="00E635F2">
        <w:rPr>
          <w:color w:val="000000"/>
        </w:rPr>
        <w:t xml:space="preserve"> UV </w:t>
      </w:r>
      <w:r w:rsidR="006B2780" w:rsidRPr="00E635F2">
        <w:rPr>
          <w:color w:val="000000"/>
        </w:rPr>
        <w:t xml:space="preserve">exposure </w:t>
      </w:r>
      <w:sdt>
        <w:sdtPr>
          <w:tag w:val="goog_rdk_25"/>
          <w:id w:val="-1919316139"/>
        </w:sdtPr>
        <w:sdtContent/>
      </w:sdt>
      <w:r w:rsidRPr="00E635F2">
        <w:rPr>
          <w:color w:val="000000"/>
        </w:rPr>
        <w:t xml:space="preserve">for </w:t>
      </w:r>
      <w:r w:rsidR="002147E7" w:rsidRPr="00E635F2">
        <w:rPr>
          <w:color w:val="000000"/>
        </w:rPr>
        <w:t xml:space="preserve">60 </w:t>
      </w:r>
      <w:r w:rsidRPr="00E635F2">
        <w:rPr>
          <w:color w:val="000000"/>
        </w:rPr>
        <w:t>min</w:t>
      </w:r>
      <w:r w:rsidR="00D8096E" w:rsidRPr="00E635F2">
        <w:rPr>
          <w:color w:val="000000"/>
        </w:rPr>
        <w:t>utes</w:t>
      </w:r>
      <w:r w:rsidRPr="00E635F2">
        <w:rPr>
          <w:color w:val="000000"/>
        </w:rPr>
        <w:t xml:space="preserve">. </w:t>
      </w:r>
    </w:p>
    <w:p w14:paraId="5D5F1EF1" w14:textId="06DF501B" w:rsidR="00EA031A" w:rsidRPr="00E635F2" w:rsidRDefault="003D595D">
      <w:pPr>
        <w:pBdr>
          <w:top w:val="nil"/>
          <w:left w:val="nil"/>
          <w:bottom w:val="nil"/>
          <w:right w:val="nil"/>
          <w:between w:val="nil"/>
        </w:pBdr>
        <w:spacing w:before="280" w:after="280" w:line="276" w:lineRule="auto"/>
        <w:jc w:val="both"/>
        <w:rPr>
          <w:color w:val="000000" w:themeColor="text1"/>
        </w:rPr>
      </w:pPr>
      <w:r w:rsidRPr="00E635F2">
        <w:rPr>
          <w:i/>
          <w:color w:val="000000"/>
        </w:rPr>
        <w:t xml:space="preserve">BBB-on-chip cells seeding and culturing: </w:t>
      </w:r>
      <w:r w:rsidR="008C0D4F" w:rsidRPr="00E635F2">
        <w:rPr>
          <w:color w:val="000000"/>
        </w:rPr>
        <w:t>Human umbilical vein endothelial cells (HUVECs), brain vascular pericytes (</w:t>
      </w:r>
      <w:proofErr w:type="spellStart"/>
      <w:r w:rsidR="008C0D4F" w:rsidRPr="00E635F2">
        <w:rPr>
          <w:color w:val="000000"/>
        </w:rPr>
        <w:t>hBVPs</w:t>
      </w:r>
      <w:proofErr w:type="spellEnd"/>
      <w:r w:rsidR="008C0D4F" w:rsidRPr="00E635F2">
        <w:rPr>
          <w:color w:val="000000"/>
        </w:rPr>
        <w:t>), and immortalized astrocytes (</w:t>
      </w:r>
      <w:proofErr w:type="spellStart"/>
      <w:r w:rsidR="008C0D4F" w:rsidRPr="00E635F2">
        <w:rPr>
          <w:color w:val="000000"/>
        </w:rPr>
        <w:t>hAs</w:t>
      </w:r>
      <w:proofErr w:type="spellEnd"/>
      <w:r w:rsidR="008C0D4F" w:rsidRPr="00E635F2">
        <w:rPr>
          <w:color w:val="000000"/>
        </w:rPr>
        <w:t xml:space="preserve">) were obtained from </w:t>
      </w:r>
      <w:proofErr w:type="spellStart"/>
      <w:r w:rsidR="008C0D4F" w:rsidRPr="00E635F2">
        <w:rPr>
          <w:color w:val="000000"/>
        </w:rPr>
        <w:t>Innoprot</w:t>
      </w:r>
      <w:proofErr w:type="spellEnd"/>
      <w:r w:rsidR="00102DD1" w:rsidRPr="00E635F2">
        <w:rPr>
          <w:color w:val="000000"/>
        </w:rPr>
        <w:t xml:space="preserve"> (</w:t>
      </w:r>
      <w:proofErr w:type="spellStart"/>
      <w:r w:rsidR="00102DD1" w:rsidRPr="00E635F2">
        <w:rPr>
          <w:color w:val="000000"/>
        </w:rPr>
        <w:t>Derio</w:t>
      </w:r>
      <w:proofErr w:type="spellEnd"/>
      <w:r w:rsidR="00102DD1" w:rsidRPr="00E635F2">
        <w:rPr>
          <w:color w:val="000000"/>
        </w:rPr>
        <w:t>, Spain)</w:t>
      </w:r>
      <w:r w:rsidR="002E710B" w:rsidRPr="00E635F2">
        <w:rPr>
          <w:color w:val="000000"/>
        </w:rPr>
        <w:t>.</w:t>
      </w:r>
      <w:r w:rsidRPr="00E635F2">
        <w:rPr>
          <w:color w:val="000000"/>
        </w:rPr>
        <w:t xml:space="preserve"> HUVECs </w:t>
      </w:r>
      <w:r w:rsidR="008C0D4F" w:rsidRPr="00E635F2">
        <w:rPr>
          <w:color w:val="000000"/>
        </w:rPr>
        <w:t xml:space="preserve">were expanded in fibronectin-coated (FN, </w:t>
      </w:r>
      <w:proofErr w:type="spellStart"/>
      <w:r w:rsidR="002E710B" w:rsidRPr="00E635F2">
        <w:rPr>
          <w:color w:val="000000"/>
        </w:rPr>
        <w:t>Innoprot</w:t>
      </w:r>
      <w:proofErr w:type="spellEnd"/>
      <w:r w:rsidR="002E710B" w:rsidRPr="00E635F2">
        <w:rPr>
          <w:color w:val="000000"/>
        </w:rPr>
        <w:t xml:space="preserve">, </w:t>
      </w:r>
      <w:r w:rsidR="008C0D4F" w:rsidRPr="00E635F2">
        <w:rPr>
          <w:color w:val="000000"/>
        </w:rPr>
        <w:t xml:space="preserve">1 mg/ml) </w:t>
      </w:r>
      <w:r w:rsidRPr="00E635F2">
        <w:rPr>
          <w:color w:val="000000"/>
        </w:rPr>
        <w:t>75</w:t>
      </w:r>
      <w:r w:rsidR="00AE2D39">
        <w:rPr>
          <w:color w:val="000000"/>
        </w:rPr>
        <w:t xml:space="preserve"> </w:t>
      </w:r>
      <w:r w:rsidRPr="00E635F2">
        <w:rPr>
          <w:color w:val="000000"/>
        </w:rPr>
        <w:t>cm² flasks using Endothelial Basal Medium (P60104</w:t>
      </w:r>
      <w:r w:rsidR="002E710B" w:rsidRPr="00E635F2">
        <w:rPr>
          <w:color w:val="000000"/>
        </w:rPr>
        <w:t xml:space="preserve">, </w:t>
      </w:r>
      <w:proofErr w:type="spellStart"/>
      <w:r w:rsidR="002E710B" w:rsidRPr="00E635F2">
        <w:rPr>
          <w:color w:val="000000"/>
        </w:rPr>
        <w:t>Innoprot</w:t>
      </w:r>
      <w:proofErr w:type="spellEnd"/>
      <w:r w:rsidRPr="00E635F2">
        <w:rPr>
          <w:color w:val="000000"/>
        </w:rPr>
        <w:t>) supplemented with 5% fetal bovine serum (FBS</w:t>
      </w:r>
      <w:r w:rsidR="002E710B" w:rsidRPr="00E635F2">
        <w:rPr>
          <w:color w:val="000000"/>
        </w:rPr>
        <w:t xml:space="preserve">, </w:t>
      </w:r>
      <w:proofErr w:type="spellStart"/>
      <w:r w:rsidR="002E710B" w:rsidRPr="00E635F2">
        <w:rPr>
          <w:color w:val="000000"/>
        </w:rPr>
        <w:t>Innoprot</w:t>
      </w:r>
      <w:proofErr w:type="spellEnd"/>
      <w:r w:rsidRPr="00E635F2">
        <w:rPr>
          <w:color w:val="000000"/>
        </w:rPr>
        <w:t>), 1% penicillin-streptomycin (P/S</w:t>
      </w:r>
      <w:r w:rsidR="002E710B" w:rsidRPr="00E635F2">
        <w:rPr>
          <w:color w:val="000000"/>
        </w:rPr>
        <w:t xml:space="preserve">, </w:t>
      </w:r>
      <w:proofErr w:type="spellStart"/>
      <w:r w:rsidR="002E710B" w:rsidRPr="00E635F2">
        <w:rPr>
          <w:color w:val="000000"/>
        </w:rPr>
        <w:t>Innoprot</w:t>
      </w:r>
      <w:proofErr w:type="spellEnd"/>
      <w:r w:rsidRPr="00E635F2">
        <w:rPr>
          <w:color w:val="000000"/>
        </w:rPr>
        <w:t>), and 1% endothelial cell growth supplement</w:t>
      </w:r>
      <w:r w:rsidR="002E710B" w:rsidRPr="00E635F2">
        <w:rPr>
          <w:color w:val="000000"/>
        </w:rPr>
        <w:t xml:space="preserve"> (ECGS, </w:t>
      </w:r>
      <w:proofErr w:type="spellStart"/>
      <w:r w:rsidR="002E710B" w:rsidRPr="00E635F2">
        <w:rPr>
          <w:color w:val="000000"/>
        </w:rPr>
        <w:t>Innoprot</w:t>
      </w:r>
      <w:proofErr w:type="spellEnd"/>
      <w:r w:rsidR="002E710B" w:rsidRPr="00E635F2">
        <w:rPr>
          <w:color w:val="000000"/>
        </w:rPr>
        <w:t>)</w:t>
      </w:r>
      <w:r w:rsidRPr="00E635F2">
        <w:rPr>
          <w:color w:val="000000"/>
        </w:rPr>
        <w:t xml:space="preserve">. </w:t>
      </w:r>
      <w:proofErr w:type="spellStart"/>
      <w:r w:rsidRPr="00E635F2">
        <w:rPr>
          <w:color w:val="000000"/>
        </w:rPr>
        <w:t>hBVPs</w:t>
      </w:r>
      <w:proofErr w:type="spellEnd"/>
      <w:r w:rsidRPr="00E635F2">
        <w:rPr>
          <w:color w:val="000000"/>
        </w:rPr>
        <w:t xml:space="preserve"> </w:t>
      </w:r>
      <w:r w:rsidR="008C0D4F" w:rsidRPr="00E635F2">
        <w:rPr>
          <w:color w:val="000000"/>
        </w:rPr>
        <w:t xml:space="preserve">and </w:t>
      </w:r>
      <w:proofErr w:type="spellStart"/>
      <w:r w:rsidR="008C0D4F" w:rsidRPr="00E635F2">
        <w:rPr>
          <w:color w:val="000000"/>
        </w:rPr>
        <w:t>hAs</w:t>
      </w:r>
      <w:proofErr w:type="spellEnd"/>
      <w:r w:rsidR="008C0D4F" w:rsidRPr="00E635F2">
        <w:rPr>
          <w:color w:val="000000"/>
        </w:rPr>
        <w:t xml:space="preserve"> were cultured in poly-L-lysine-coated (PLL, </w:t>
      </w:r>
      <w:proofErr w:type="spellStart"/>
      <w:r w:rsidR="007C2805" w:rsidRPr="00E635F2">
        <w:rPr>
          <w:color w:val="000000"/>
        </w:rPr>
        <w:t>Innoprot</w:t>
      </w:r>
      <w:proofErr w:type="spellEnd"/>
      <w:r w:rsidR="007C2805" w:rsidRPr="00E635F2">
        <w:rPr>
          <w:color w:val="000000"/>
        </w:rPr>
        <w:t xml:space="preserve">, </w:t>
      </w:r>
      <w:r w:rsidR="008C0D4F" w:rsidRPr="00E635F2">
        <w:rPr>
          <w:color w:val="000000"/>
        </w:rPr>
        <w:t xml:space="preserve">1 mg/ml) </w:t>
      </w:r>
      <w:r w:rsidRPr="00E635F2">
        <w:rPr>
          <w:color w:val="000000"/>
        </w:rPr>
        <w:t xml:space="preserve">25 cm² flasks using Pericyte </w:t>
      </w:r>
      <w:r w:rsidR="008C0D4F" w:rsidRPr="00E635F2">
        <w:rPr>
          <w:color w:val="000000"/>
        </w:rPr>
        <w:t xml:space="preserve">and Astrocyte </w:t>
      </w:r>
      <w:r w:rsidRPr="00E635F2">
        <w:rPr>
          <w:color w:val="000000"/>
        </w:rPr>
        <w:t>Basal Medium</w:t>
      </w:r>
      <w:r w:rsidR="008C0D4F" w:rsidRPr="00E635F2">
        <w:rPr>
          <w:color w:val="000000"/>
        </w:rPr>
        <w:t>, respectively,</w:t>
      </w:r>
      <w:r w:rsidRPr="00E635F2">
        <w:rPr>
          <w:color w:val="000000"/>
        </w:rPr>
        <w:t xml:space="preserve"> supplemented with 2% FBS, 1% growth supplement, and 1% P/S solution. </w:t>
      </w:r>
      <w:r w:rsidR="00702C75" w:rsidRPr="00E635F2">
        <w:rPr>
          <w:color w:val="000000"/>
        </w:rPr>
        <w:t xml:space="preserve">For BBB-on-chip seeding, the PETE </w:t>
      </w:r>
      <w:r w:rsidR="00702C75" w:rsidRPr="00E635F2">
        <w:rPr>
          <w:color w:val="000000" w:themeColor="text1"/>
        </w:rPr>
        <w:t xml:space="preserve">membrane was coated for 24 hours with FN (blood side) and PLL (brain side), followed by three </w:t>
      </w:r>
      <w:r w:rsidR="007C2805" w:rsidRPr="00E635F2">
        <w:rPr>
          <w:color w:val="000000" w:themeColor="text1"/>
        </w:rPr>
        <w:t xml:space="preserve">Phosphate </w:t>
      </w:r>
      <w:r w:rsidR="00702C75" w:rsidRPr="00E635F2">
        <w:rPr>
          <w:color w:val="000000" w:themeColor="text1"/>
        </w:rPr>
        <w:t>B</w:t>
      </w:r>
      <w:r w:rsidR="007C2805" w:rsidRPr="00E635F2">
        <w:rPr>
          <w:color w:val="000000" w:themeColor="text1"/>
        </w:rPr>
        <w:t xml:space="preserve">uffer </w:t>
      </w:r>
      <w:r w:rsidR="00702C75" w:rsidRPr="00E635F2">
        <w:rPr>
          <w:color w:val="000000" w:themeColor="text1"/>
        </w:rPr>
        <w:t>S</w:t>
      </w:r>
      <w:r w:rsidR="007C2805" w:rsidRPr="00E635F2">
        <w:rPr>
          <w:color w:val="000000" w:themeColor="text1"/>
        </w:rPr>
        <w:t xml:space="preserve">aline (PBS, Sial </w:t>
      </w:r>
      <w:proofErr w:type="spellStart"/>
      <w:r w:rsidR="007C2805" w:rsidRPr="00E635F2">
        <w:rPr>
          <w:color w:val="000000" w:themeColor="text1"/>
        </w:rPr>
        <w:t>s.r.l</w:t>
      </w:r>
      <w:proofErr w:type="spellEnd"/>
      <w:r w:rsidR="007C2805" w:rsidRPr="00E635F2">
        <w:rPr>
          <w:color w:val="000000" w:themeColor="text1"/>
        </w:rPr>
        <w:t>.</w:t>
      </w:r>
      <w:r w:rsidR="00102DD1" w:rsidRPr="00E635F2">
        <w:rPr>
          <w:color w:val="000000" w:themeColor="text1"/>
        </w:rPr>
        <w:t>, Rome, Italy</w:t>
      </w:r>
      <w:r w:rsidR="007C2805" w:rsidRPr="00E635F2">
        <w:rPr>
          <w:color w:val="000000" w:themeColor="text1"/>
        </w:rPr>
        <w:t>)</w:t>
      </w:r>
      <w:r w:rsidR="00702C75" w:rsidRPr="00E635F2">
        <w:rPr>
          <w:color w:val="000000" w:themeColor="text1"/>
        </w:rPr>
        <w:t xml:space="preserve"> washes. </w:t>
      </w:r>
      <w:proofErr w:type="spellStart"/>
      <w:r w:rsidR="00702C75" w:rsidRPr="00E635F2">
        <w:rPr>
          <w:color w:val="000000" w:themeColor="text1"/>
        </w:rPr>
        <w:t>hAs</w:t>
      </w:r>
      <w:proofErr w:type="spellEnd"/>
      <w:r w:rsidR="00702C75" w:rsidRPr="00E635F2">
        <w:rPr>
          <w:color w:val="000000" w:themeColor="text1"/>
        </w:rPr>
        <w:t xml:space="preserve"> and </w:t>
      </w:r>
      <w:proofErr w:type="spellStart"/>
      <w:r w:rsidR="00702C75" w:rsidRPr="00E635F2">
        <w:rPr>
          <w:color w:val="000000" w:themeColor="text1"/>
        </w:rPr>
        <w:t>hBVPs</w:t>
      </w:r>
      <w:proofErr w:type="spellEnd"/>
      <w:r w:rsidR="00702C75" w:rsidRPr="00E635F2">
        <w:rPr>
          <w:color w:val="000000" w:themeColor="text1"/>
        </w:rPr>
        <w:t xml:space="preserve"> were seeded on the brain side at densities of 5</w:t>
      </w:r>
      <w:r w:rsidR="008C4A23">
        <w:rPr>
          <w:color w:val="000000" w:themeColor="text1"/>
        </w:rPr>
        <w:t>x</w:t>
      </w:r>
      <w:r w:rsidR="00702C75" w:rsidRPr="00E635F2">
        <w:rPr>
          <w:color w:val="000000" w:themeColor="text1"/>
        </w:rPr>
        <w:t xml:space="preserve">10⁵ and </w:t>
      </w:r>
      <w:r w:rsidR="007D1421">
        <w:rPr>
          <w:color w:val="000000" w:themeColor="text1"/>
        </w:rPr>
        <w:t>1</w:t>
      </w:r>
      <w:r w:rsidR="008C4A23">
        <w:rPr>
          <w:color w:val="000000" w:themeColor="text1"/>
        </w:rPr>
        <w:t>x</w:t>
      </w:r>
      <w:r w:rsidR="00702C75" w:rsidRPr="00E635F2">
        <w:rPr>
          <w:color w:val="000000" w:themeColor="text1"/>
        </w:rPr>
        <w:t>10⁵ cells, respectively. After 6 hours of inverted incubation</w:t>
      </w:r>
      <w:r w:rsidR="00702C75" w:rsidRPr="00E635F2">
        <w:rPr>
          <w:color w:val="000000"/>
        </w:rPr>
        <w:t xml:space="preserve"> to favor cells adhesion to the PETE membrane</w:t>
      </w:r>
      <w:r w:rsidR="00702C75" w:rsidRPr="00E635F2">
        <w:rPr>
          <w:color w:val="000000" w:themeColor="text1"/>
        </w:rPr>
        <w:t>, devices were placed upright and incubated for 24 hours with medium changes every 8 hours (medium</w:t>
      </w:r>
      <w:r w:rsidR="002E710B" w:rsidRPr="00E635F2">
        <w:rPr>
          <w:color w:val="000000" w:themeColor="text1"/>
        </w:rPr>
        <w:t xml:space="preserve"> 1</w:t>
      </w:r>
      <w:r w:rsidR="00702C75" w:rsidRPr="00E635F2">
        <w:rPr>
          <w:color w:val="000000" w:themeColor="text1"/>
        </w:rPr>
        <w:t xml:space="preserve">:1 mix of </w:t>
      </w:r>
      <w:proofErr w:type="spellStart"/>
      <w:r w:rsidR="00702C75" w:rsidRPr="00E635F2">
        <w:rPr>
          <w:color w:val="000000" w:themeColor="text1"/>
        </w:rPr>
        <w:t>hAs</w:t>
      </w:r>
      <w:proofErr w:type="spellEnd"/>
      <w:r w:rsidR="00702C75" w:rsidRPr="00E635F2">
        <w:rPr>
          <w:color w:val="000000" w:themeColor="text1"/>
        </w:rPr>
        <w:t xml:space="preserve"> and </w:t>
      </w:r>
      <w:proofErr w:type="spellStart"/>
      <w:r w:rsidR="00702C75" w:rsidRPr="00E635F2">
        <w:rPr>
          <w:color w:val="000000" w:themeColor="text1"/>
        </w:rPr>
        <w:t>hBVP</w:t>
      </w:r>
      <w:proofErr w:type="spellEnd"/>
      <w:r w:rsidR="00702C75" w:rsidRPr="00E635F2">
        <w:rPr>
          <w:color w:val="000000" w:themeColor="text1"/>
        </w:rPr>
        <w:t xml:space="preserve"> media). HUVECs were seeded at 6</w:t>
      </w:r>
      <w:r w:rsidR="008C4A23">
        <w:rPr>
          <w:color w:val="000000" w:themeColor="text1"/>
        </w:rPr>
        <w:t>x</w:t>
      </w:r>
      <w:r w:rsidR="00702C75" w:rsidRPr="00E635F2">
        <w:rPr>
          <w:color w:val="000000" w:themeColor="text1"/>
        </w:rPr>
        <w:t xml:space="preserve">10⁶ cells/mL in the vascular channel (blood side) and incubated for 4 hours. Devices were then perfused at 30 </w:t>
      </w:r>
      <w:proofErr w:type="spellStart"/>
      <w:r w:rsidR="00702C75" w:rsidRPr="00E635F2">
        <w:rPr>
          <w:color w:val="000000" w:themeColor="text1"/>
        </w:rPr>
        <w:t>μL</w:t>
      </w:r>
      <w:proofErr w:type="spellEnd"/>
      <w:r w:rsidR="00702C75" w:rsidRPr="00E635F2">
        <w:rPr>
          <w:color w:val="000000" w:themeColor="text1"/>
        </w:rPr>
        <w:t xml:space="preserve">/min using tubing connected to inlet/outlet ports. The perfusion medium was composed </w:t>
      </w:r>
      <w:r w:rsidR="00D40317" w:rsidRPr="00E635F2">
        <w:rPr>
          <w:color w:val="000000" w:themeColor="text1"/>
        </w:rPr>
        <w:t>by</w:t>
      </w:r>
      <w:r w:rsidR="00702C75" w:rsidRPr="00E635F2">
        <w:rPr>
          <w:color w:val="000000" w:themeColor="text1"/>
        </w:rPr>
        <w:t xml:space="preserve"> 75% HUVEC medium and 25% (1:1) </w:t>
      </w:r>
      <w:proofErr w:type="spellStart"/>
      <w:r w:rsidR="00702C75" w:rsidRPr="00E635F2">
        <w:rPr>
          <w:color w:val="000000" w:themeColor="text1"/>
        </w:rPr>
        <w:t>hAs</w:t>
      </w:r>
      <w:proofErr w:type="spellEnd"/>
      <w:r w:rsidR="00702C75" w:rsidRPr="00E635F2">
        <w:rPr>
          <w:color w:val="000000" w:themeColor="text1"/>
        </w:rPr>
        <w:t>/</w:t>
      </w:r>
      <w:proofErr w:type="spellStart"/>
      <w:r w:rsidR="00702C75" w:rsidRPr="00E635F2">
        <w:rPr>
          <w:color w:val="000000" w:themeColor="text1"/>
        </w:rPr>
        <w:t>hBVP</w:t>
      </w:r>
      <w:proofErr w:type="spellEnd"/>
      <w:r w:rsidR="00702C75" w:rsidRPr="00E635F2">
        <w:rPr>
          <w:color w:val="000000" w:themeColor="text1"/>
        </w:rPr>
        <w:t xml:space="preserve"> media (please see </w:t>
      </w:r>
      <w:r w:rsidR="00702C75" w:rsidRPr="00E635F2">
        <w:rPr>
          <w:b/>
          <w:bCs/>
          <w:color w:val="000000"/>
        </w:rPr>
        <w:t>Supplementary Figure S.5</w:t>
      </w:r>
      <w:r w:rsidR="00702C75" w:rsidRPr="00E635F2">
        <w:rPr>
          <w:color w:val="000000"/>
        </w:rPr>
        <w:t xml:space="preserve"> for optimization details)</w:t>
      </w:r>
      <w:r w:rsidR="00702C75" w:rsidRPr="00E635F2">
        <w:rPr>
          <w:color w:val="000000" w:themeColor="text1"/>
        </w:rPr>
        <w:t xml:space="preserve">. Devices were cultured for 7 days </w:t>
      </w:r>
      <w:r w:rsidR="00702C75" w:rsidRPr="00E635F2">
        <w:rPr>
          <w:color w:val="000000"/>
        </w:rPr>
        <w:t>to ensure the correct formation and maturation of the BBB</w:t>
      </w:r>
      <w:r w:rsidR="00702C75" w:rsidRPr="00E635F2">
        <w:rPr>
          <w:color w:val="000000" w:themeColor="text1"/>
        </w:rPr>
        <w:t xml:space="preserve"> before experimentation.</w:t>
      </w:r>
    </w:p>
    <w:p w14:paraId="0722055E" w14:textId="0B2B73C0" w:rsidR="00894F2E" w:rsidRPr="00E635F2" w:rsidRDefault="003D595D">
      <w:pPr>
        <w:spacing w:line="276" w:lineRule="auto"/>
        <w:jc w:val="both"/>
        <w:rPr>
          <w:color w:val="000000"/>
        </w:rPr>
      </w:pPr>
      <w:r w:rsidRPr="00E635F2">
        <w:rPr>
          <w:i/>
        </w:rPr>
        <w:t xml:space="preserve">TEER measurements: </w:t>
      </w:r>
      <w:r w:rsidRPr="00E635F2">
        <w:rPr>
          <w:color w:val="000000"/>
        </w:rPr>
        <w:t xml:space="preserve">TEER </w:t>
      </w:r>
      <w:r w:rsidR="00894F2E" w:rsidRPr="00E635F2">
        <w:rPr>
          <w:color w:val="000000"/>
        </w:rPr>
        <w:t xml:space="preserve">values were monitored over 7 days using a </w:t>
      </w:r>
      <w:r w:rsidRPr="00E635F2">
        <w:rPr>
          <w:color w:val="000000"/>
        </w:rPr>
        <w:t xml:space="preserve">Millicell-ERS2 </w:t>
      </w:r>
      <w:r w:rsidR="00894F2E" w:rsidRPr="00E635F2">
        <w:rPr>
          <w:color w:val="000000"/>
        </w:rPr>
        <w:t>v</w:t>
      </w:r>
      <w:r w:rsidRPr="00E635F2">
        <w:rPr>
          <w:color w:val="000000"/>
        </w:rPr>
        <w:t>olt-</w:t>
      </w:r>
      <w:r w:rsidR="00894F2E" w:rsidRPr="00E635F2">
        <w:rPr>
          <w:color w:val="000000"/>
        </w:rPr>
        <w:t>o</w:t>
      </w:r>
      <w:r w:rsidRPr="00E635F2">
        <w:rPr>
          <w:color w:val="000000"/>
        </w:rPr>
        <w:t xml:space="preserve">hm </w:t>
      </w:r>
      <w:r w:rsidR="00894F2E" w:rsidRPr="00E635F2">
        <w:rPr>
          <w:color w:val="000000"/>
        </w:rPr>
        <w:t>m</w:t>
      </w:r>
      <w:r w:rsidRPr="00E635F2">
        <w:rPr>
          <w:color w:val="000000"/>
        </w:rPr>
        <w:t xml:space="preserve">eter (Millipore, Merck, </w:t>
      </w:r>
      <w:proofErr w:type="spellStart"/>
      <w:r w:rsidR="00102DD1" w:rsidRPr="00E635F2">
        <w:rPr>
          <w:color w:val="000000"/>
        </w:rPr>
        <w:t>Rahaway</w:t>
      </w:r>
      <w:proofErr w:type="spellEnd"/>
      <w:r w:rsidR="00102DD1" w:rsidRPr="00E635F2">
        <w:rPr>
          <w:color w:val="000000"/>
        </w:rPr>
        <w:t xml:space="preserve">, NJ, </w:t>
      </w:r>
      <w:r w:rsidRPr="00E635F2">
        <w:rPr>
          <w:color w:val="000000"/>
        </w:rPr>
        <w:t>USA) with STX01 electrode</w:t>
      </w:r>
      <w:r w:rsidR="00894F2E" w:rsidRPr="00E635F2">
        <w:rPr>
          <w:color w:val="000000"/>
        </w:rPr>
        <w:t>s. TEER values correlate with</w:t>
      </w:r>
      <w:r w:rsidRPr="00E635F2">
        <w:rPr>
          <w:color w:val="000000"/>
        </w:rPr>
        <w:t xml:space="preserve"> BBB formation and maturation. </w:t>
      </w:r>
      <w:r w:rsidR="00894F2E" w:rsidRPr="00E635F2">
        <w:rPr>
          <w:color w:val="000000"/>
        </w:rPr>
        <w:t>M</w:t>
      </w:r>
      <w:r w:rsidRPr="00E635F2">
        <w:rPr>
          <w:color w:val="000000"/>
        </w:rPr>
        <w:t>easurement</w:t>
      </w:r>
      <w:r w:rsidR="00894F2E" w:rsidRPr="00E635F2">
        <w:rPr>
          <w:color w:val="000000"/>
        </w:rPr>
        <w:t>s</w:t>
      </w:r>
      <w:r w:rsidRPr="00E635F2">
        <w:rPr>
          <w:color w:val="000000"/>
        </w:rPr>
        <w:t xml:space="preserve"> </w:t>
      </w:r>
      <w:r w:rsidR="00894F2E" w:rsidRPr="00E635F2">
        <w:rPr>
          <w:color w:val="000000"/>
        </w:rPr>
        <w:t xml:space="preserve">were recorded by </w:t>
      </w:r>
      <w:r w:rsidRPr="00E635F2">
        <w:rPr>
          <w:color w:val="000000"/>
        </w:rPr>
        <w:t xml:space="preserve">placing electrodes at the blood and </w:t>
      </w:r>
      <w:r w:rsidRPr="00E635F2">
        <w:rPr>
          <w:color w:val="000000"/>
        </w:rPr>
        <w:lastRenderedPageBreak/>
        <w:t>brain side</w:t>
      </w:r>
      <w:r w:rsidR="00894F2E" w:rsidRPr="00E635F2">
        <w:rPr>
          <w:color w:val="000000"/>
        </w:rPr>
        <w:t>s</w:t>
      </w:r>
      <w:r w:rsidRPr="00E635F2">
        <w:rPr>
          <w:color w:val="000000"/>
        </w:rPr>
        <w:t xml:space="preserve"> of the PETE membrane. </w:t>
      </w:r>
      <w:r w:rsidR="00894F2E" w:rsidRPr="00E635F2">
        <w:rPr>
          <w:color w:val="000000"/>
        </w:rPr>
        <w:t>Devices</w:t>
      </w:r>
      <w:r w:rsidRPr="00E635F2">
        <w:rPr>
          <w:color w:val="000000"/>
        </w:rPr>
        <w:t xml:space="preserve"> with</w:t>
      </w:r>
      <w:r w:rsidR="00894F2E" w:rsidRPr="00E635F2">
        <w:rPr>
          <w:color w:val="000000"/>
        </w:rPr>
        <w:t>out</w:t>
      </w:r>
      <w:r w:rsidRPr="00E635F2">
        <w:rPr>
          <w:color w:val="000000"/>
        </w:rPr>
        <w:t xml:space="preserve"> </w:t>
      </w:r>
      <w:r w:rsidR="00894F2E" w:rsidRPr="00E635F2">
        <w:rPr>
          <w:color w:val="000000"/>
        </w:rPr>
        <w:t>served as blanks</w:t>
      </w:r>
      <w:r w:rsidRPr="00E635F2">
        <w:rPr>
          <w:color w:val="000000"/>
        </w:rPr>
        <w:t xml:space="preserve">. TEER </w:t>
      </w:r>
      <w:r w:rsidR="00894F2E" w:rsidRPr="00E635F2">
        <w:rPr>
          <w:color w:val="000000"/>
        </w:rPr>
        <w:t>was</w:t>
      </w:r>
      <w:r w:rsidRPr="00E635F2">
        <w:rPr>
          <w:color w:val="000000"/>
        </w:rPr>
        <w:t xml:space="preserve"> calculated using the following </w:t>
      </w:r>
      <w:r w:rsidR="00894F2E" w:rsidRPr="00E635F2">
        <w:rPr>
          <w:color w:val="000000"/>
        </w:rPr>
        <w:t>formula</w:t>
      </w:r>
      <w:r w:rsidRPr="00E635F2">
        <w:rPr>
          <w:color w:val="000000"/>
        </w:rPr>
        <w:t xml:space="preserve"> (1). </w:t>
      </w:r>
    </w:p>
    <w:p w14:paraId="00000055" w14:textId="77777777" w:rsidR="00C314E0" w:rsidRPr="00E635F2" w:rsidRDefault="00C314E0">
      <w:pPr>
        <w:spacing w:line="276" w:lineRule="auto"/>
        <w:jc w:val="both"/>
        <w:rPr>
          <w:color w:val="000000"/>
        </w:rPr>
      </w:pPr>
    </w:p>
    <w:p w14:paraId="00000056" w14:textId="77777777" w:rsidR="00C314E0" w:rsidRPr="00E635F2" w:rsidRDefault="003D595D">
      <w:pPr>
        <w:jc w:val="center"/>
        <w:rPr>
          <w:rFonts w:ascii="Cambria Math" w:eastAsia="Cambria Math" w:hAnsi="Cambria Math" w:cs="Cambria Math"/>
          <w:color w:val="000000"/>
        </w:rPr>
      </w:pPr>
      <m:oMathPara>
        <m:oMath>
          <m:r>
            <w:rPr>
              <w:rFonts w:ascii="Cambria Math" w:eastAsia="Cambria Math" w:hAnsi="Cambria Math" w:cs="Cambria Math"/>
              <w:color w:val="000000"/>
            </w:rPr>
            <m:t xml:space="preserve">                                                              TEER=</m:t>
          </m:r>
          <m:d>
            <m:dPr>
              <m:ctrlPr>
                <w:rPr>
                  <w:rFonts w:ascii="Cambria Math" w:eastAsia="Cambria Math" w:hAnsi="Cambria Math" w:cs="Cambria Math"/>
                  <w:color w:val="000000"/>
                </w:rPr>
              </m:ctrlPr>
            </m:dPr>
            <m:e>
              <m:r>
                <w:rPr>
                  <w:rFonts w:ascii="Cambria Math" w:eastAsia="Cambria Math" w:hAnsi="Cambria Math" w:cs="Cambria Math"/>
                  <w:color w:val="000000"/>
                </w:rPr>
                <m:t>R-</m:t>
              </m:r>
              <m:sSub>
                <m:sSubPr>
                  <m:ctrlPr>
                    <w:rPr>
                      <w:rFonts w:ascii="Cambria Math" w:eastAsia="Cambria Math" w:hAnsi="Cambria Math" w:cs="Cambria Math"/>
                      <w:color w:val="000000"/>
                    </w:rPr>
                  </m:ctrlPr>
                </m:sSubPr>
                <m:e>
                  <m:r>
                    <w:rPr>
                      <w:rFonts w:ascii="Cambria Math" w:eastAsia="Cambria Math" w:hAnsi="Cambria Math" w:cs="Cambria Math"/>
                      <w:color w:val="000000"/>
                    </w:rPr>
                    <m:t>R</m:t>
                  </m:r>
                </m:e>
                <m:sub>
                  <m:r>
                    <w:rPr>
                      <w:rFonts w:ascii="Cambria Math" w:eastAsia="Cambria Math" w:hAnsi="Cambria Math" w:cs="Cambria Math"/>
                      <w:color w:val="000000"/>
                    </w:rPr>
                    <m:t>blank</m:t>
                  </m:r>
                </m:sub>
              </m:sSub>
            </m:e>
          </m:d>
          <m:r>
            <w:rPr>
              <w:rFonts w:ascii="Cambria Math" w:eastAsia="Cambria Math" w:hAnsi="Cambria Math" w:cs="Cambria Math"/>
              <w:color w:val="000000"/>
            </w:rPr>
            <m:t>*A                                                                 (1)</m:t>
          </m:r>
        </m:oMath>
      </m:oMathPara>
    </w:p>
    <w:p w14:paraId="0F030FB3" w14:textId="77777777" w:rsidR="00171C4F" w:rsidRPr="00E635F2" w:rsidRDefault="00171C4F">
      <w:pPr>
        <w:spacing w:line="276" w:lineRule="auto"/>
        <w:jc w:val="both"/>
      </w:pPr>
    </w:p>
    <w:p w14:paraId="00000057" w14:textId="6EED60C1" w:rsidR="00C314E0" w:rsidRPr="00E635F2" w:rsidRDefault="003D595D">
      <w:pPr>
        <w:spacing w:line="276" w:lineRule="auto"/>
        <w:jc w:val="both"/>
        <w:rPr>
          <w:color w:val="000000"/>
        </w:rPr>
      </w:pPr>
      <w:r w:rsidRPr="00E635F2">
        <w:rPr>
          <w:color w:val="000000"/>
        </w:rPr>
        <w:t xml:space="preserve">where A is the membrane area, </w:t>
      </w:r>
      <w:r w:rsidRPr="00E635F2">
        <w:rPr>
          <w:i/>
          <w:color w:val="000000"/>
        </w:rPr>
        <w:t>R</w:t>
      </w:r>
      <w:r w:rsidRPr="00E635F2">
        <w:rPr>
          <w:color w:val="000000"/>
        </w:rPr>
        <w:t xml:space="preserve"> is the </w:t>
      </w:r>
      <w:r w:rsidR="007B0AEC" w:rsidRPr="00E635F2">
        <w:rPr>
          <w:color w:val="000000"/>
        </w:rPr>
        <w:t xml:space="preserve">measured resistance in the seeded </w:t>
      </w:r>
      <w:r w:rsidRPr="00E635F2">
        <w:rPr>
          <w:color w:val="000000"/>
        </w:rPr>
        <w:t>BBB-on-chip</w:t>
      </w:r>
      <w:r w:rsidR="00171C4F" w:rsidRPr="00E635F2">
        <w:rPr>
          <w:color w:val="000000"/>
        </w:rPr>
        <w:t xml:space="preserve"> </w:t>
      </w:r>
      <w:r w:rsidR="007B0AEC" w:rsidRPr="00E635F2">
        <w:rPr>
          <w:color w:val="000000"/>
        </w:rPr>
        <w:t>device</w:t>
      </w:r>
      <w:r w:rsidRPr="00E635F2">
        <w:rPr>
          <w:color w:val="000000"/>
        </w:rPr>
        <w:t xml:space="preserve">, and </w:t>
      </w:r>
      <w:proofErr w:type="spellStart"/>
      <w:r w:rsidRPr="00E635F2">
        <w:rPr>
          <w:i/>
          <w:color w:val="000000"/>
        </w:rPr>
        <w:t>R</w:t>
      </w:r>
      <w:r w:rsidRPr="00E635F2">
        <w:rPr>
          <w:color w:val="000000"/>
          <w:vertAlign w:val="subscript"/>
        </w:rPr>
        <w:t>blank</w:t>
      </w:r>
      <w:proofErr w:type="spellEnd"/>
      <w:r w:rsidRPr="00E635F2">
        <w:rPr>
          <w:color w:val="000000"/>
        </w:rPr>
        <w:t xml:space="preserve"> is the </w:t>
      </w:r>
      <w:r w:rsidR="007B0AEC" w:rsidRPr="00E635F2">
        <w:rPr>
          <w:color w:val="000000"/>
        </w:rPr>
        <w:t>resistance in the blank device</w:t>
      </w:r>
      <w:r w:rsidRPr="00E635F2">
        <w:rPr>
          <w:color w:val="000000"/>
        </w:rPr>
        <w:t>.</w:t>
      </w:r>
    </w:p>
    <w:p w14:paraId="00000058" w14:textId="77777777" w:rsidR="00C314E0" w:rsidRPr="00E635F2" w:rsidRDefault="00C314E0">
      <w:pPr>
        <w:spacing w:line="276" w:lineRule="auto"/>
        <w:rPr>
          <w:b/>
          <w:i/>
        </w:rPr>
      </w:pPr>
    </w:p>
    <w:p w14:paraId="00000059" w14:textId="632D8ED7" w:rsidR="00C314E0" w:rsidRPr="00E635F2" w:rsidRDefault="003D595D" w:rsidP="00936442">
      <w:pPr>
        <w:spacing w:line="276" w:lineRule="auto"/>
        <w:jc w:val="both"/>
      </w:pPr>
      <w:r w:rsidRPr="00E635F2">
        <w:rPr>
          <w:i/>
        </w:rPr>
        <w:t>Characterization of BBB permeability</w:t>
      </w:r>
      <w:r w:rsidRPr="00E635F2">
        <w:t xml:space="preserve">: </w:t>
      </w:r>
      <w:r w:rsidR="00936442" w:rsidRPr="00E635F2">
        <w:t xml:space="preserve">Permeability was assessed using 40, 70, and 150 </w:t>
      </w:r>
      <w:proofErr w:type="spellStart"/>
      <w:r w:rsidR="00936442" w:rsidRPr="00E635F2">
        <w:t>kDa</w:t>
      </w:r>
      <w:proofErr w:type="spellEnd"/>
      <w:r w:rsidR="00936442" w:rsidRPr="00E635F2">
        <w:t xml:space="preserve"> </w:t>
      </w:r>
      <w:r w:rsidRPr="00E635F2">
        <w:t>Fluorescein isothiocyanate isomer-</w:t>
      </w:r>
      <w:proofErr w:type="spellStart"/>
      <w:r w:rsidRPr="00E635F2">
        <w:t>dextrans</w:t>
      </w:r>
      <w:proofErr w:type="spellEnd"/>
      <w:r w:rsidRPr="00E635F2">
        <w:t xml:space="preserve"> (FITC-dextran</w:t>
      </w:r>
      <w:r w:rsidR="00936442" w:rsidRPr="00E635F2">
        <w:t>, 0.5 mg/mL</w:t>
      </w:r>
      <w:r w:rsidRPr="00E635F2">
        <w:t>)</w:t>
      </w:r>
      <w:r w:rsidR="00936442" w:rsidRPr="00E635F2">
        <w:t xml:space="preserve">. Three experimental groups were used: no cells, endothelial-only, and complete BBB (triculture). On day 7, the devices were perfused with FITC-dextran through the blood channel at 5 </w:t>
      </w:r>
      <w:proofErr w:type="spellStart"/>
      <w:r w:rsidR="00936442" w:rsidRPr="00E635F2">
        <w:t>μL</w:t>
      </w:r>
      <w:proofErr w:type="spellEnd"/>
      <w:r w:rsidR="00936442" w:rsidRPr="00E635F2">
        <w:t>/min and imaged at three regions of interest (ROIs) on the brain side</w:t>
      </w:r>
      <w:r w:rsidR="004D18B1" w:rsidRPr="00E635F2">
        <w:t xml:space="preserve"> in</w:t>
      </w:r>
      <w:r w:rsidR="00171C4F" w:rsidRPr="00E635F2">
        <w:t xml:space="preserve"> correspondence of the three microwells</w:t>
      </w:r>
      <w:r w:rsidRPr="00E635F2">
        <w:t xml:space="preserve">. Permeability is determined using a standard reference method, and the </w:t>
      </w:r>
      <w:r w:rsidR="00991939" w:rsidRPr="00E635F2">
        <w:t>A</w:t>
      </w:r>
      <w:r w:rsidRPr="00E635F2">
        <w:t>pparent permeability (P</w:t>
      </w:r>
      <w:r w:rsidRPr="00E635F2">
        <w:rPr>
          <w:vertAlign w:val="subscript"/>
        </w:rPr>
        <w:t>app</w:t>
      </w:r>
      <w:r w:rsidRPr="00E635F2">
        <w:t xml:space="preserve">) </w:t>
      </w:r>
      <w:r w:rsidR="00991939" w:rsidRPr="00E635F2">
        <w:t>and BBB-specific permeability (P</w:t>
      </w:r>
      <w:r w:rsidR="00991939" w:rsidRPr="00E635F2">
        <w:rPr>
          <w:vertAlign w:val="subscript"/>
        </w:rPr>
        <w:t>BBB</w:t>
      </w:r>
      <w:r w:rsidR="00991939" w:rsidRPr="00E635F2">
        <w:t xml:space="preserve">) were </w:t>
      </w:r>
      <w:r w:rsidRPr="00E635F2">
        <w:t>calculated using equations (2) and (3).</w:t>
      </w:r>
      <w:r w:rsidR="001D6B1C" w:rsidRPr="00E635F2">
        <w:rPr>
          <w:vertAlign w:val="superscript"/>
        </w:rPr>
        <w:t xml:space="preserve"> </w:t>
      </w:r>
      <w:r w:rsidR="001D6B1C" w:rsidRPr="00E635F2">
        <w:rPr>
          <w:vertAlign w:val="superscript"/>
        </w:rPr>
        <w:fldChar w:fldCharType="begin" w:fldLock="1"/>
      </w:r>
      <w:r w:rsidR="001D6B1C" w:rsidRPr="00E635F2">
        <w:rPr>
          <w:vertAlign w:val="superscript"/>
        </w:rPr>
        <w:instrText>ADDIN CSL_CITATION {"citationItems":[{"id":"ITEM-1","itemData":{"DOI":"10.1021/acsami.0c17102","ISSN":"1944-8252 (Electronic)","PMID":"33226228","abstract":"Here, we have developed and evaluated a microfluidic-based human  blood-brain-barrier (μBBB) platform that models and predicts brain tissue uptake of small molecule drugs and nanoparticles (NPs) targeting the central nervous system. By using a photocrosslinkable copolymer that was prepared from monomers containing benzophenone and N-hydroxysuccinimide ester functional groups, we were able to evenly coat and functionalize μBBB chip channels in situ, providing a covalently attached homogenous layer of extracellular matrix proteins. This novel approach allowed the coculture of human endothelial cells, pericytes, and astrocytes and resulted in the formation of a mimic of cerebral endothelium expressing tight junction markers and efflux proteins, resembling the native BBB. The permeability coefficients of a number of compounds, including caffeine, nitrofurantoin, dextran, sucrose, glucose, and alanine, were measured on our μBBB platform and were found to agree with reported values. In addition, we successfully visualized the receptor-mediated uptake and transcytosis of transferrin-functionalized NPs. The BBB-penetrating NPs were able to target glioma cells cultured in 3D in the brain compartment of our μBBB. In conclusion, our μBBB was able to accurately predict the BBB permeability of both small molecule pharmaceuticals and nanovectors and allowed time-resolved visualization of transcytosis. Our versatile chip design accommodates different brain disease models and is expected to be exploited in further BBB studies, aiming at replacing animal experiments.","author":[{"dropping-particle":"","family":"Peng","given":"Bo","non-dropping-particle":"","parse-names":false,"suffix":""},{"dropping-particle":"","family":"Tong","given":"Ziqiu","non-dropping-particle":"","parse-names":false,"suffix":""},{"dropping-particle":"","family":"Tong","given":"Wing Yin","non-dropping-particle":"","parse-names":false,"suffix":""},{"dropping-particle":"","family":"Pasic","given":"Paul J","non-dropping-particle":"","parse-names":false,"suffix":""},{"dropping-particle":"","family":"Oddo","given":"Arianna","non-dropping-particle":"","parse-names":false,"suffix":""},{"dropping-particle":"","family":"Dai","given":"Yitian","non-dropping-particle":"","parse-names":false,"suffix":""},{"dropping-particle":"","family":"Luo","given":"Meihua","non-dropping-particle":"","parse-names":false,"suffix":""},{"dropping-particle":"","family":"Frescene","given":"Juliette","non-dropping-particle":"","parse-names":false,"suffix":""},{"dropping-particle":"","family":"Welch","given":"Nicholas G","non-dropping-particle":"","parse-names":false,"suffix":""},{"dropping-particle":"","family":"Easton","given":"Christopher D","non-dropping-particle":"","parse-names":false,"suffix":""},{"dropping-particle":"","family":"Thissen","given":"Helmut","non-dropping-particle":"","parse-names":false,"suffix":""},{"dropping-particle":"","family":"Voelcker","given":"Nicolas H","non-dropping-particle":"","parse-names":false,"suffix":""}],"container-title":"ACS applied materials &amp; interfaces","id":"ITEM-1","issue":"51","issued":{"date-parts":[["2020","12"]]},"language":"eng","page":"56753-56766","publisher-place":"United States","title":"In Situ Surface Modification of Microfluidic Blood-Brain-Barriers for Improved  Screening of Small Molecules and Nanoparticles.","type":"article-journal","volume":"12"},"uris":["http://www.mendeley.com/documents/?uuid=beaea2f5-28bc-4248-b9c0-7463ca456d03"]}],"mendeley":{"formattedCitation":"&lt;sup&gt;[34]&lt;/sup&gt;","plainTextFormattedCitation":"[34]","previouslyFormattedCitation":"&lt;sup&gt;[34]&lt;/sup&gt;"},"properties":{"noteIndex":0},"schema":"https://github.com/citation-style-language/schema/raw/master/csl-citation.json"}</w:instrText>
      </w:r>
      <w:r w:rsidR="001D6B1C" w:rsidRPr="00E635F2">
        <w:rPr>
          <w:vertAlign w:val="superscript"/>
        </w:rPr>
        <w:fldChar w:fldCharType="separate"/>
      </w:r>
      <w:r w:rsidR="001D6B1C" w:rsidRPr="00E635F2">
        <w:rPr>
          <w:noProof/>
          <w:vertAlign w:val="superscript"/>
        </w:rPr>
        <w:t>[34]</w:t>
      </w:r>
      <w:r w:rsidR="001D6B1C" w:rsidRPr="00E635F2">
        <w:rPr>
          <w:vertAlign w:val="superscript"/>
        </w:rPr>
        <w:fldChar w:fldCharType="end"/>
      </w:r>
    </w:p>
    <w:p w14:paraId="0000005A" w14:textId="77777777" w:rsidR="00C314E0" w:rsidRPr="00E635F2" w:rsidRDefault="00000000">
      <w:pPr>
        <w:jc w:val="center"/>
        <w:rPr>
          <w:rFonts w:ascii="Cambria Math" w:eastAsia="Cambria Math" w:hAnsi="Cambria Math" w:cs="Cambria Math"/>
          <w:color w:val="000000"/>
        </w:rPr>
      </w:pPr>
      <m:oMathPara>
        <m:oMath>
          <m:sSub>
            <m:sSubPr>
              <m:ctrlPr>
                <w:rPr>
                  <w:rFonts w:ascii="Cambria Math" w:eastAsia="Cambria Math" w:hAnsi="Cambria Math" w:cs="Cambria Math"/>
                  <w:color w:val="000000"/>
                </w:rPr>
              </m:ctrlPr>
            </m:sSubPr>
            <m:e>
              <m:r>
                <w:rPr>
                  <w:rFonts w:ascii="Cambria Math" w:eastAsia="Cambria Math" w:hAnsi="Cambria Math" w:cs="Cambria Math"/>
                  <w:color w:val="000000"/>
                </w:rPr>
                <m:t xml:space="preserve">                                                                 P</m:t>
              </m:r>
            </m:e>
            <m:sub>
              <m:r>
                <w:rPr>
                  <w:rFonts w:ascii="Cambria Math" w:eastAsia="Cambria Math" w:hAnsi="Cambria Math" w:cs="Cambria Math"/>
                  <w:color w:val="000000"/>
                </w:rPr>
                <m:t>app</m:t>
              </m:r>
            </m:sub>
          </m:sSub>
          <m:r>
            <w:rPr>
              <w:rFonts w:ascii="Cambria Math" w:eastAsia="Cambria Math" w:hAnsi="Cambria Math" w:cs="Cambria Math"/>
              <w:color w:val="000000"/>
            </w:rPr>
            <m:t xml:space="preserve">= </m:t>
          </m:r>
          <m:f>
            <m:fPr>
              <m:ctrlPr>
                <w:rPr>
                  <w:rFonts w:ascii="Cambria Math" w:eastAsia="Cambria Math" w:hAnsi="Cambria Math" w:cs="Cambria Math"/>
                  <w:color w:val="000000"/>
                </w:rPr>
              </m:ctrlPr>
            </m:fPr>
            <m:num>
              <m:sSub>
                <m:sSubPr>
                  <m:ctrlPr>
                    <w:rPr>
                      <w:rFonts w:ascii="Cambria Math" w:eastAsia="Cambria Math" w:hAnsi="Cambria Math" w:cs="Cambria Math"/>
                      <w:color w:val="000000"/>
                    </w:rPr>
                  </m:ctrlPr>
                </m:sSubPr>
                <m:e>
                  <m:r>
                    <w:rPr>
                      <w:rFonts w:ascii="Cambria Math" w:eastAsia="Cambria Math" w:hAnsi="Cambria Math" w:cs="Cambria Math"/>
                      <w:color w:val="000000"/>
                    </w:rPr>
                    <m:t>C</m:t>
                  </m:r>
                </m:e>
                <m:sub>
                  <m:r>
                    <w:rPr>
                      <w:rFonts w:ascii="Cambria Math" w:eastAsia="Cambria Math" w:hAnsi="Cambria Math" w:cs="Cambria Math"/>
                      <w:color w:val="000000"/>
                    </w:rPr>
                    <m:t>(t)</m:t>
                  </m:r>
                </m:sub>
              </m:sSub>
              <m:r>
                <w:rPr>
                  <w:rFonts w:ascii="Cambria Math" w:eastAsia="Cambria Math" w:hAnsi="Cambria Math" w:cs="Cambria Math"/>
                  <w:color w:val="000000"/>
                </w:rPr>
                <m:t>V</m:t>
              </m:r>
            </m:num>
            <m:den>
              <m:sSub>
                <m:sSubPr>
                  <m:ctrlPr>
                    <w:rPr>
                      <w:rFonts w:ascii="Cambria Math" w:eastAsia="Cambria Math" w:hAnsi="Cambria Math" w:cs="Cambria Math"/>
                      <w:color w:val="000000"/>
                    </w:rPr>
                  </m:ctrlPr>
                </m:sSubPr>
                <m:e>
                  <m:r>
                    <w:rPr>
                      <w:rFonts w:ascii="Cambria Math" w:eastAsia="Cambria Math" w:hAnsi="Cambria Math" w:cs="Cambria Math"/>
                      <w:color w:val="000000"/>
                    </w:rPr>
                    <m:t>C</m:t>
                  </m:r>
                </m:e>
                <m:sub>
                  <m:r>
                    <w:rPr>
                      <w:rFonts w:ascii="Cambria Math" w:eastAsia="Cambria Math" w:hAnsi="Cambria Math" w:cs="Cambria Math"/>
                      <w:color w:val="000000"/>
                    </w:rPr>
                    <m:t>0</m:t>
                  </m:r>
                </m:sub>
              </m:sSub>
              <m:r>
                <w:rPr>
                  <w:rFonts w:ascii="Cambria Math" w:eastAsia="Cambria Math" w:hAnsi="Cambria Math" w:cs="Cambria Math"/>
                  <w:color w:val="000000"/>
                </w:rPr>
                <m:t>A∆T</m:t>
              </m:r>
            </m:den>
          </m:f>
          <m:r>
            <w:rPr>
              <w:rFonts w:ascii="Cambria Math" w:eastAsia="Cambria Math" w:hAnsi="Cambria Math" w:cs="Cambria Math"/>
              <w:color w:val="000000"/>
            </w:rPr>
            <m:t xml:space="preserve">                                                                                  </m:t>
          </m:r>
          <m:d>
            <m:dPr>
              <m:ctrlPr>
                <w:rPr>
                  <w:rFonts w:ascii="Cambria Math" w:eastAsia="Cambria Math" w:hAnsi="Cambria Math" w:cs="Cambria Math"/>
                  <w:color w:val="000000"/>
                </w:rPr>
              </m:ctrlPr>
            </m:dPr>
            <m:e>
              <m:r>
                <w:rPr>
                  <w:rFonts w:ascii="Cambria Math" w:eastAsia="Cambria Math" w:hAnsi="Cambria Math" w:cs="Cambria Math"/>
                  <w:color w:val="000000"/>
                </w:rPr>
                <m:t>2</m:t>
              </m:r>
            </m:e>
          </m:d>
        </m:oMath>
      </m:oMathPara>
    </w:p>
    <w:p w14:paraId="0000005B" w14:textId="77777777" w:rsidR="00C314E0" w:rsidRPr="00E635F2" w:rsidRDefault="003D595D">
      <w:pPr>
        <w:jc w:val="center"/>
        <w:rPr>
          <w:rFonts w:ascii="Cambria Math" w:eastAsia="Cambria Math" w:hAnsi="Cambria Math" w:cs="Cambria Math"/>
          <w:color w:val="000000"/>
        </w:rPr>
      </w:pPr>
      <m:oMathPara>
        <m:oMath>
          <m:r>
            <w:rPr>
              <w:rFonts w:ascii="Cambria Math" w:eastAsia="Cambria Math" w:hAnsi="Cambria Math" w:cs="Cambria Math"/>
              <w:color w:val="000000"/>
            </w:rPr>
            <m:t xml:space="preserve">                                                              </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sSub>
                <m:sSubPr>
                  <m:ctrlPr>
                    <w:rPr>
                      <w:rFonts w:ascii="Cambria Math" w:eastAsia="Cambria Math" w:hAnsi="Cambria Math" w:cs="Cambria Math"/>
                      <w:color w:val="000000"/>
                    </w:rPr>
                  </m:ctrlPr>
                </m:sSubPr>
                <m:e>
                  <m:r>
                    <w:rPr>
                      <w:rFonts w:ascii="Cambria Math" w:eastAsia="Cambria Math" w:hAnsi="Cambria Math" w:cs="Cambria Math"/>
                      <w:color w:val="000000"/>
                    </w:rPr>
                    <m:t>P</m:t>
                  </m:r>
                </m:e>
                <m:sub>
                  <m:r>
                    <w:rPr>
                      <w:rFonts w:ascii="Cambria Math" w:eastAsia="Cambria Math" w:hAnsi="Cambria Math" w:cs="Cambria Math"/>
                      <w:color w:val="000000"/>
                    </w:rPr>
                    <m:t>BBB</m:t>
                  </m:r>
                </m:sub>
              </m:sSub>
            </m:den>
          </m:f>
          <m:r>
            <w:rPr>
              <w:rFonts w:ascii="Cambria Math" w:eastAsia="Cambria Math" w:hAnsi="Cambria Math" w:cs="Cambria Math"/>
              <w:color w:val="000000"/>
            </w:rPr>
            <m:t xml:space="preserve">= </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sSub>
                <m:sSubPr>
                  <m:ctrlPr>
                    <w:rPr>
                      <w:rFonts w:ascii="Cambria Math" w:eastAsia="Cambria Math" w:hAnsi="Cambria Math" w:cs="Cambria Math"/>
                      <w:color w:val="000000"/>
                    </w:rPr>
                  </m:ctrlPr>
                </m:sSubPr>
                <m:e>
                  <m:r>
                    <w:rPr>
                      <w:rFonts w:ascii="Cambria Math" w:eastAsia="Cambria Math" w:hAnsi="Cambria Math" w:cs="Cambria Math"/>
                      <w:color w:val="000000"/>
                    </w:rPr>
                    <m:t>P</m:t>
                  </m:r>
                </m:e>
                <m:sub>
                  <m:r>
                    <w:rPr>
                      <w:rFonts w:ascii="Cambria Math" w:eastAsia="Cambria Math" w:hAnsi="Cambria Math" w:cs="Cambria Math"/>
                      <w:color w:val="000000"/>
                    </w:rPr>
                    <m:t>app</m:t>
                  </m:r>
                </m:sub>
              </m:sSub>
            </m:den>
          </m:f>
          <m:r>
            <w:rPr>
              <w:rFonts w:ascii="Cambria Math" w:eastAsia="Cambria Math" w:hAnsi="Cambria Math" w:cs="Cambria Math"/>
              <w:color w:val="000000"/>
            </w:rPr>
            <m:t xml:space="preserve">- </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sSub>
                <m:sSubPr>
                  <m:ctrlPr>
                    <w:rPr>
                      <w:rFonts w:ascii="Cambria Math" w:eastAsia="Cambria Math" w:hAnsi="Cambria Math" w:cs="Cambria Math"/>
                      <w:color w:val="000000"/>
                    </w:rPr>
                  </m:ctrlPr>
                </m:sSubPr>
                <m:e>
                  <m:r>
                    <w:rPr>
                      <w:rFonts w:ascii="Cambria Math" w:eastAsia="Cambria Math" w:hAnsi="Cambria Math" w:cs="Cambria Math"/>
                      <w:color w:val="000000"/>
                    </w:rPr>
                    <m:t>P</m:t>
                  </m:r>
                </m:e>
                <m:sub>
                  <m:r>
                    <w:rPr>
                      <w:rFonts w:ascii="Cambria Math" w:eastAsia="Cambria Math" w:hAnsi="Cambria Math" w:cs="Cambria Math"/>
                      <w:color w:val="000000"/>
                    </w:rPr>
                    <m:t>0</m:t>
                  </m:r>
                </m:sub>
              </m:sSub>
            </m:den>
          </m:f>
          <m:r>
            <w:rPr>
              <w:rFonts w:ascii="Cambria Math" w:eastAsia="Cambria Math" w:hAnsi="Cambria Math" w:cs="Cambria Math"/>
              <w:color w:val="000000"/>
            </w:rPr>
            <m:t xml:space="preserve">                                                                              (3)</m:t>
          </m:r>
        </m:oMath>
      </m:oMathPara>
    </w:p>
    <w:p w14:paraId="0000005C" w14:textId="61EEA64D" w:rsidR="00C314E0" w:rsidRPr="00E635F2" w:rsidRDefault="003D595D">
      <w:pPr>
        <w:spacing w:line="276" w:lineRule="auto"/>
        <w:jc w:val="both"/>
      </w:pPr>
      <w:r w:rsidRPr="00E635F2">
        <w:t xml:space="preserve">where </w:t>
      </w:r>
      <w:r w:rsidRPr="00E635F2">
        <w:rPr>
          <w:i/>
        </w:rPr>
        <w:t>C</w:t>
      </w:r>
      <w:r w:rsidRPr="00E635F2">
        <w:rPr>
          <w:vertAlign w:val="subscript"/>
        </w:rPr>
        <w:t>(t)</w:t>
      </w:r>
      <w:r w:rsidRPr="00E635F2">
        <w:t xml:space="preserve"> </w:t>
      </w:r>
      <w:r w:rsidR="00A42BF8" w:rsidRPr="00E635F2">
        <w:t xml:space="preserve">is dextran concentration in the brain side, </w:t>
      </w:r>
      <w:r w:rsidR="00A42BF8" w:rsidRPr="00E635F2">
        <w:rPr>
          <w:i/>
          <w:iCs/>
        </w:rPr>
        <w:t>V</w:t>
      </w:r>
      <w:r w:rsidR="00A42BF8" w:rsidRPr="00E635F2">
        <w:t xml:space="preserve"> is volume</w:t>
      </w:r>
      <w:r w:rsidR="004335D5" w:rsidRPr="00E635F2">
        <w:t>,</w:t>
      </w:r>
      <w:r w:rsidR="00A42BF8" w:rsidRPr="00E635F2">
        <w:t xml:space="preserve"> </w:t>
      </w:r>
      <w:r w:rsidRPr="00E635F2">
        <w:rPr>
          <w:i/>
        </w:rPr>
        <w:t>C</w:t>
      </w:r>
      <w:r w:rsidRPr="00E635F2">
        <w:rPr>
          <w:vertAlign w:val="subscript"/>
        </w:rPr>
        <w:t>0</w:t>
      </w:r>
      <w:r w:rsidRPr="00E635F2">
        <w:t xml:space="preserve"> </w:t>
      </w:r>
      <w:r w:rsidR="004335D5" w:rsidRPr="00E635F2">
        <w:t xml:space="preserve">is </w:t>
      </w:r>
      <w:r w:rsidRPr="00E635F2">
        <w:t>blood</w:t>
      </w:r>
      <w:r w:rsidR="004335D5" w:rsidRPr="00E635F2">
        <w:t>-</w:t>
      </w:r>
      <w:r w:rsidRPr="00E635F2">
        <w:t>side</w:t>
      </w:r>
      <w:r w:rsidR="004335D5" w:rsidRPr="00E635F2">
        <w:t xml:space="preserve"> concentration</w:t>
      </w:r>
      <w:r w:rsidRPr="00E635F2">
        <w:t xml:space="preserve">, </w:t>
      </w:r>
      <w:r w:rsidRPr="00E635F2">
        <w:rPr>
          <w:i/>
          <w:iCs/>
        </w:rPr>
        <w:t>A</w:t>
      </w:r>
      <w:r w:rsidRPr="00E635F2">
        <w:t xml:space="preserve"> is </w:t>
      </w:r>
      <w:r w:rsidR="004335D5" w:rsidRPr="00E635F2">
        <w:t>surface area</w:t>
      </w:r>
      <w:r w:rsidRPr="00E635F2">
        <w:t>, Δ</w:t>
      </w:r>
      <w:r w:rsidRPr="00E635F2">
        <w:rPr>
          <w:i/>
        </w:rPr>
        <w:t>T</w:t>
      </w:r>
      <w:r w:rsidRPr="00E635F2">
        <w:t xml:space="preserve"> is the assay time, and </w:t>
      </w:r>
      <w:r w:rsidRPr="00E635F2">
        <w:rPr>
          <w:i/>
        </w:rPr>
        <w:t>P</w:t>
      </w:r>
      <w:r w:rsidRPr="00E635F2">
        <w:rPr>
          <w:vertAlign w:val="subscript"/>
        </w:rPr>
        <w:t>0</w:t>
      </w:r>
      <w:r w:rsidRPr="00E635F2">
        <w:t xml:space="preserve"> is the permeability </w:t>
      </w:r>
      <w:r w:rsidR="004335D5" w:rsidRPr="00E635F2">
        <w:t xml:space="preserve">of the blank </w:t>
      </w:r>
      <w:r w:rsidRPr="00E635F2">
        <w:t>device.</w:t>
      </w:r>
    </w:p>
    <w:p w14:paraId="0000005D" w14:textId="3B43BBD4" w:rsidR="00C314E0" w:rsidRPr="00E635F2" w:rsidRDefault="003D595D">
      <w:pPr>
        <w:pBdr>
          <w:top w:val="nil"/>
          <w:left w:val="nil"/>
          <w:bottom w:val="nil"/>
          <w:right w:val="nil"/>
          <w:between w:val="nil"/>
        </w:pBdr>
        <w:spacing w:before="280" w:after="280" w:line="276" w:lineRule="auto"/>
        <w:jc w:val="both"/>
        <w:rPr>
          <w:color w:val="000000"/>
        </w:rPr>
      </w:pPr>
      <w:r w:rsidRPr="00E635F2">
        <w:rPr>
          <w:i/>
          <w:color w:val="000000"/>
        </w:rPr>
        <w:t xml:space="preserve">Shear stress calculation and modeling: </w:t>
      </w:r>
      <w:r w:rsidRPr="00E635F2">
        <w:rPr>
          <w:color w:val="000000"/>
        </w:rPr>
        <w:t>Computational Fluid Dynamics (CFD</w:t>
      </w:r>
      <w:r w:rsidR="00E064F8" w:rsidRPr="00E635F2">
        <w:rPr>
          <w:color w:val="000000"/>
        </w:rPr>
        <w:t xml:space="preserve">) simulations were conducted using </w:t>
      </w:r>
      <w:r w:rsidRPr="00E635F2">
        <w:rPr>
          <w:color w:val="000000"/>
        </w:rPr>
        <w:t xml:space="preserve">COMSOL Multiphysics 6.1 to </w:t>
      </w:r>
      <w:r w:rsidR="00E064F8" w:rsidRPr="00E635F2">
        <w:rPr>
          <w:color w:val="000000"/>
        </w:rPr>
        <w:t>model</w:t>
      </w:r>
      <w:r w:rsidRPr="00E635F2">
        <w:rPr>
          <w:color w:val="000000"/>
        </w:rPr>
        <w:t xml:space="preserve"> shear stress in the blood</w:t>
      </w:r>
      <w:r w:rsidR="00E064F8" w:rsidRPr="00E635F2">
        <w:rPr>
          <w:color w:val="000000"/>
        </w:rPr>
        <w:t>-</w:t>
      </w:r>
      <w:r w:rsidRPr="00E635F2">
        <w:rPr>
          <w:color w:val="000000"/>
        </w:rPr>
        <w:t xml:space="preserve">side </w:t>
      </w:r>
      <w:r w:rsidR="00E064F8" w:rsidRPr="00E635F2">
        <w:rPr>
          <w:color w:val="000000"/>
        </w:rPr>
        <w:t>channel</w:t>
      </w:r>
      <w:r w:rsidRPr="00E635F2">
        <w:rPr>
          <w:color w:val="000000"/>
        </w:rPr>
        <w:t xml:space="preserve">. </w:t>
      </w:r>
      <w:r w:rsidR="00E064F8" w:rsidRPr="00E635F2">
        <w:rPr>
          <w:color w:val="000000"/>
        </w:rPr>
        <w:t xml:space="preserve">The simulation used a laminar flow model, incorporating </w:t>
      </w:r>
      <w:r w:rsidRPr="00E635F2">
        <w:rPr>
          <w:color w:val="000000"/>
        </w:rPr>
        <w:t xml:space="preserve">geometry, meshing, </w:t>
      </w:r>
      <w:r w:rsidR="00E064F8" w:rsidRPr="00E635F2">
        <w:rPr>
          <w:color w:val="000000"/>
        </w:rPr>
        <w:t xml:space="preserve">and inflow boundary condition sweeps </w:t>
      </w:r>
      <w:r w:rsidRPr="00E635F2">
        <w:rPr>
          <w:color w:val="000000"/>
        </w:rPr>
        <w:t>to achieve the desired shear stress level. The working fluid</w:t>
      </w:r>
      <w:r w:rsidR="00370C99" w:rsidRPr="00E635F2">
        <w:rPr>
          <w:color w:val="000000"/>
        </w:rPr>
        <w:t xml:space="preserve"> was modeled as </w:t>
      </w:r>
      <w:r w:rsidRPr="00E635F2">
        <w:rPr>
          <w:color w:val="000000"/>
        </w:rPr>
        <w:t>incompressible</w:t>
      </w:r>
      <w:r w:rsidR="00370C99" w:rsidRPr="00E635F2">
        <w:rPr>
          <w:color w:val="000000"/>
        </w:rPr>
        <w:t xml:space="preserve"> Newtonian mimicking culture media.</w:t>
      </w:r>
      <w:r w:rsidR="001D6B1C" w:rsidRPr="00E635F2">
        <w:rPr>
          <w:color w:val="000000"/>
        </w:rPr>
        <w:fldChar w:fldCharType="begin" w:fldLock="1"/>
      </w:r>
      <w:r w:rsidR="001D6B1C" w:rsidRPr="00E635F2">
        <w:rPr>
          <w:color w:val="000000"/>
        </w:rPr>
        <w:instrText>ADDIN CSL_CITATION {"citationItems":[{"id":"ITEM-1","itemData":{"author":[{"dropping-particle":"","family":"Chan","given":"W Y","non-dropping-particle":"","parse-names":false,"suffix":""},{"dropping-particle":"","family":"Ding","given":"Y","non-dropping-particle":"","parse-names":false,"suffix":""},{"dropping-particle":"","family":"Tu","given":"J Y","non-dropping-particle":"","parse-names":false,"suffix":""}],"collection-title":"ANZIAM J.","container-title":"Proceedings of the 7th Biennial Engineering Mathematics and Applications Conference, EMAC-2005","editor":[{"dropping-particle":"","family":"Stacey","given":"Andrew","non-dropping-particle":"","parse-names":false,"suffix":""},{"dropping-particle":"","family":"Blyth","given":"Bill","non-dropping-particle":"","parse-names":false,"suffix":""},{"dropping-particle":"","family":"Shepherd","given":"John","non-dropping-particle":"","parse-names":false,"suffix":""},{"dropping-particle":"","family":"Roberts","given":"A J","non-dropping-particle":"","parse-names":false,"suffix":""}],"id":"ITEM-1","issued":{"date-parts":[["2007"]]},"note":"\\protect \\url {http://anziamj.austms.org.au/V47EMAC2005/Chan} [January 4, 2007]","page":"C507--C523","title":"Modeling of non-Newtonian blood flow through a stenosed artery incorporating fluid-structure interaction","type":"paper-conference","volume":"47"},"uris":["http://www.mendeley.com/documents/?uuid=6c459c3c-86ed-4b6a-94bb-3386408eb5ca"]},{"id":"ITEM-2","itemData":{"DOI":"https://doi.org/10.1016/j.bej.2022.108415","ISSN":"1369-703X","abstract":"This work proposes a comprehensive approach to optimize the design of microfluidic concentration gradient generators (MGGs) for biomedical applications. Exposing biological systems to controlled gradients enables fast screenings of induced concentration-dependent signals and surpasses several limitations of conventional cell culture techniques. The MGG working principle is the formation of diffusion-driven concentration gradients between a source and a sink, both connected to a cell culture chamber through an array of microchannels. The devices were modeled with Comsol Multiphysics®, in a combined fluid-dynamic and mass-transport study allowing prediction of the internal fields and guiding design optimization. Ideal MGGs must ensure fast transients (&lt; 1 h) to reach a steady gradient. To identify the key features determining the device performance, we analyzed design specifications and operating parameters including: the shape of the source and sink (width 1–2 mm), the number and length of the microchannels (17–34, and 2.5–5 mm), the flow rate (5–10 μl/min). Our results prove that the formation and shape of the gradient are strongly affected by the device geometry, and mostly by the microchannels length. In addition, higher flow rates lead to the generation of stagnation zones and increase the gradient steepness. The model optimized MGG was fabricated and proved successful in the generation of stable concentration gradients over cell monolayers inside the culture chamber.","author":[{"dropping-particle":"","family":"Micheli","given":"Sara","non-dropping-particle":"","parse-names":false,"suffix":""},{"dropping-particle":"","family":"Mocellin","given":"Paolo","non-dropping-particle":"","parse-names":false,"suffix":""},{"dropping-particle":"","family":"Sorgato","given":"Marco","non-dropping-particle":"","parse-names":false,"suffix":""},{"dropping-particle":"","family":"Bova","given":"Lorenzo","non-dropping-particle":"","parse-names":false,"suffix":""},{"dropping-particle":"","family":"Cimetta","given":"Elisa","non-dropping-particle":"","parse-names":false,"suffix":""}],"container-title":"Biochemical Engineering Journal","id":"ITEM-2","issued":{"date-parts":[["2022"]]},"page":"108415","title":"Modeling-based design specifications for microfluidic gradients generators for biomedical applications","type":"article-journal","volume":"181"},"uris":["http://www.mendeley.com/documents/?uuid=80b021d6-4e40-4a0f-8ef5-be0f4ae81ccc"]}],"mendeley":{"formattedCitation":"&lt;sup&gt;[35,36]&lt;/sup&gt;","plainTextFormattedCitation":"[35,36]","previouslyFormattedCitation":"&lt;sup&gt;[35,36]&lt;/sup&gt;"},"properties":{"noteIndex":0},"schema":"https://github.com/citation-style-language/schema/raw/master/csl-citation.json"}</w:instrText>
      </w:r>
      <w:r w:rsidR="001D6B1C" w:rsidRPr="00E635F2">
        <w:rPr>
          <w:color w:val="000000"/>
        </w:rPr>
        <w:fldChar w:fldCharType="separate"/>
      </w:r>
      <w:r w:rsidR="001D6B1C" w:rsidRPr="00E635F2">
        <w:rPr>
          <w:noProof/>
          <w:color w:val="000000"/>
          <w:vertAlign w:val="superscript"/>
        </w:rPr>
        <w:t>[35,36]</w:t>
      </w:r>
      <w:r w:rsidR="001D6B1C" w:rsidRPr="00E635F2">
        <w:rPr>
          <w:color w:val="000000"/>
        </w:rPr>
        <w:fldChar w:fldCharType="end"/>
      </w:r>
      <w:r w:rsidR="001D6B1C" w:rsidRPr="00E635F2">
        <w:rPr>
          <w:color w:val="000000"/>
        </w:rPr>
        <w:t xml:space="preserve"> </w:t>
      </w:r>
      <w:r w:rsidR="00370C99" w:rsidRPr="00E635F2">
        <w:rPr>
          <w:color w:val="000000"/>
        </w:rPr>
        <w:t>C</w:t>
      </w:r>
      <w:r w:rsidRPr="00E635F2">
        <w:rPr>
          <w:color w:val="000000"/>
        </w:rPr>
        <w:t xml:space="preserve">alculated Reynolds numbers </w:t>
      </w:r>
      <w:r w:rsidR="00370C99" w:rsidRPr="00E635F2">
        <w:rPr>
          <w:color w:val="000000"/>
        </w:rPr>
        <w:t>remained</w:t>
      </w:r>
      <w:r w:rsidRPr="00E635F2">
        <w:rPr>
          <w:color w:val="000000"/>
        </w:rPr>
        <w:t xml:space="preserve"> below 200</w:t>
      </w:r>
      <w:r w:rsidR="00370C99" w:rsidRPr="00E635F2">
        <w:rPr>
          <w:color w:val="000000"/>
        </w:rPr>
        <w:t>0</w:t>
      </w:r>
      <w:r w:rsidRPr="00E635F2">
        <w:rPr>
          <w:color w:val="000000"/>
        </w:rPr>
        <w:t>, confirming laminar flow conditions.</w:t>
      </w:r>
    </w:p>
    <w:p w14:paraId="230DE32E" w14:textId="153DF4D9" w:rsidR="00473E1C" w:rsidRPr="00E635F2" w:rsidRDefault="003D595D" w:rsidP="00C662D7">
      <w:pPr>
        <w:spacing w:line="276" w:lineRule="auto"/>
        <w:jc w:val="both"/>
        <w:rPr>
          <w:color w:val="FF0000"/>
        </w:rPr>
      </w:pPr>
      <w:r w:rsidRPr="00E635F2">
        <w:rPr>
          <w:i/>
        </w:rPr>
        <w:t>Immunofluorescence staining</w:t>
      </w:r>
      <w:r w:rsidRPr="00E635F2">
        <w:t xml:space="preserve">: Cells </w:t>
      </w:r>
      <w:r w:rsidR="00473E1C" w:rsidRPr="00E635F2">
        <w:t>within</w:t>
      </w:r>
      <w:r w:rsidRPr="00E635F2">
        <w:t xml:space="preserve"> the BBB-on-chip </w:t>
      </w:r>
      <w:r w:rsidR="00473E1C" w:rsidRPr="00E635F2">
        <w:t>were</w:t>
      </w:r>
      <w:r w:rsidRPr="00E635F2">
        <w:t xml:space="preserve"> analyzed </w:t>
      </w:r>
      <w:r w:rsidR="00473E1C" w:rsidRPr="00E635F2">
        <w:t>via</w:t>
      </w:r>
      <w:r w:rsidRPr="00E635F2">
        <w:t xml:space="preserve"> immunofluorescence staining for zonula </w:t>
      </w:r>
      <w:proofErr w:type="spellStart"/>
      <w:r w:rsidRPr="00E635F2">
        <w:t>occludens</w:t>
      </w:r>
      <w:proofErr w:type="spellEnd"/>
      <w:r w:rsidRPr="00E635F2">
        <w:t xml:space="preserve"> protein-1 (ZO-1), CD31, </w:t>
      </w:r>
      <w:r w:rsidR="00473E1C" w:rsidRPr="00E635F2">
        <w:t>glial fibrillary acidic protein (GFAP) on day 7 of culture</w:t>
      </w:r>
      <w:r w:rsidRPr="00E635F2">
        <w:t xml:space="preserve">. For staining, cells </w:t>
      </w:r>
      <w:r w:rsidR="00473E1C" w:rsidRPr="00E635F2">
        <w:t>were</w:t>
      </w:r>
      <w:r w:rsidRPr="00E635F2">
        <w:t xml:space="preserve"> fixed on-chip using 4% paraformaldehyde (PFA, Sigma-Aldrich</w:t>
      </w:r>
      <w:r w:rsidR="00102DD1" w:rsidRPr="00E635F2">
        <w:t>, Merck</w:t>
      </w:r>
      <w:r w:rsidRPr="00E635F2">
        <w:t xml:space="preserve">) in PBS, </w:t>
      </w:r>
      <w:r w:rsidR="00473E1C" w:rsidRPr="00E635F2">
        <w:t xml:space="preserve">followed by permeabilization with 0.1% </w:t>
      </w:r>
      <w:r w:rsidRPr="00E635F2">
        <w:t>Triton X-100 (Sigma-Aldrich</w:t>
      </w:r>
      <w:r w:rsidR="00102DD1" w:rsidRPr="00E635F2">
        <w:t>, Merck</w:t>
      </w:r>
      <w:r w:rsidRPr="00E635F2">
        <w:t>)</w:t>
      </w:r>
      <w:r w:rsidR="00473E1C" w:rsidRPr="00E635F2">
        <w:t xml:space="preserve">. Samples were then blocked </w:t>
      </w:r>
      <w:r w:rsidRPr="00E635F2">
        <w:t xml:space="preserve">at room temperature for 1 </w:t>
      </w:r>
      <w:r w:rsidR="00473E1C" w:rsidRPr="00E635F2">
        <w:t>hour</w:t>
      </w:r>
      <w:r w:rsidRPr="00E635F2">
        <w:t xml:space="preserve"> </w:t>
      </w:r>
      <w:r w:rsidR="00473E1C" w:rsidRPr="00E635F2">
        <w:t>using</w:t>
      </w:r>
      <w:r w:rsidRPr="00E635F2">
        <w:t xml:space="preserve"> PBS containing 5% bovine serum albumin (BSA, Sigma-Aldrich</w:t>
      </w:r>
      <w:r w:rsidR="00102DD1" w:rsidRPr="00E635F2">
        <w:t>, Merck</w:t>
      </w:r>
      <w:r w:rsidRPr="00E635F2">
        <w:t xml:space="preserve">) and 0.1% Triton X-100. Subsequently, chips </w:t>
      </w:r>
      <w:r w:rsidR="00473E1C" w:rsidRPr="00E635F2">
        <w:t>were</w:t>
      </w:r>
      <w:r w:rsidRPr="00E635F2">
        <w:t xml:space="preserve"> incubated </w:t>
      </w:r>
      <w:r w:rsidR="00473E1C" w:rsidRPr="00E635F2">
        <w:t xml:space="preserve">overnight at 4°C with primary antibodies diluted in PBS containing 5% BSA and 0.1% Triton X-100: mouse anti-CD31 (1:200, </w:t>
      </w:r>
      <w:proofErr w:type="spellStart"/>
      <w:r w:rsidR="00473E1C" w:rsidRPr="00E635F2">
        <w:t>Proteintech</w:t>
      </w:r>
      <w:proofErr w:type="spellEnd"/>
      <w:r w:rsidR="00102DD1" w:rsidRPr="00E635F2">
        <w:t xml:space="preserve"> Group, Inc, Rosemont, IL, USA</w:t>
      </w:r>
      <w:r w:rsidR="00473E1C" w:rsidRPr="00E635F2">
        <w:t xml:space="preserve">), mouse anti-ZO-1 (1:50, </w:t>
      </w:r>
      <w:proofErr w:type="spellStart"/>
      <w:r w:rsidR="00473E1C" w:rsidRPr="00E635F2">
        <w:t>Proteintech</w:t>
      </w:r>
      <w:proofErr w:type="spellEnd"/>
      <w:r w:rsidR="00473E1C" w:rsidRPr="00E635F2">
        <w:t xml:space="preserve">), and rabbit anti-GFAP (1:200, </w:t>
      </w:r>
      <w:proofErr w:type="spellStart"/>
      <w:r w:rsidR="00473E1C" w:rsidRPr="00E635F2">
        <w:t>Proteintech</w:t>
      </w:r>
      <w:proofErr w:type="spellEnd"/>
      <w:r w:rsidR="00473E1C" w:rsidRPr="00E635F2">
        <w:t>). After</w:t>
      </w:r>
      <w:r w:rsidRPr="00E635F2">
        <w:t xml:space="preserve"> wash</w:t>
      </w:r>
      <w:r w:rsidR="00473E1C" w:rsidRPr="00E635F2">
        <w:t>ing</w:t>
      </w:r>
      <w:r w:rsidRPr="00E635F2">
        <w:t xml:space="preserve">, </w:t>
      </w:r>
      <w:r w:rsidR="00473E1C" w:rsidRPr="00E635F2">
        <w:t xml:space="preserve">samples were </w:t>
      </w:r>
      <w:r w:rsidRPr="00E635F2">
        <w:t xml:space="preserve">incubated </w:t>
      </w:r>
      <w:r w:rsidR="00473E1C" w:rsidRPr="00E635F2">
        <w:t xml:space="preserve">for 1 hour at room temperature </w:t>
      </w:r>
      <w:r w:rsidRPr="00E635F2">
        <w:t xml:space="preserve">with Coralite488-conjugated goat anti-mouse </w:t>
      </w:r>
      <w:r w:rsidR="00473E1C" w:rsidRPr="00E635F2">
        <w:t xml:space="preserve">(1:800, </w:t>
      </w:r>
      <w:proofErr w:type="spellStart"/>
      <w:r w:rsidR="00473E1C" w:rsidRPr="00E635F2">
        <w:t>Proteintech</w:t>
      </w:r>
      <w:proofErr w:type="spellEnd"/>
      <w:r w:rsidR="00473E1C" w:rsidRPr="00E635F2">
        <w:t xml:space="preserve">) </w:t>
      </w:r>
      <w:r w:rsidRPr="00E635F2">
        <w:t xml:space="preserve">and Coralite647-conjugated goat anti-rabbit (1:800, </w:t>
      </w:r>
      <w:proofErr w:type="spellStart"/>
      <w:r w:rsidRPr="00E635F2">
        <w:t>Proteintech</w:t>
      </w:r>
      <w:proofErr w:type="spellEnd"/>
      <w:r w:rsidRPr="00E635F2">
        <w:t xml:space="preserve">) </w:t>
      </w:r>
      <w:r w:rsidR="00473E1C" w:rsidRPr="00E635F2">
        <w:t xml:space="preserve">secondary antibodies </w:t>
      </w:r>
      <w:r w:rsidRPr="00E635F2">
        <w:t xml:space="preserve">in PBS with 5% BSA and 0.1% Triton-X100. </w:t>
      </w:r>
      <w:r w:rsidR="00473E1C" w:rsidRPr="00E635F2">
        <w:t>Following additional washes, nuclei were counterstained with DAPI (Sigma-Aldrich</w:t>
      </w:r>
      <w:r w:rsidR="00102DD1" w:rsidRPr="00E635F2">
        <w:t>, Merck</w:t>
      </w:r>
      <w:r w:rsidR="00473E1C" w:rsidRPr="00E635F2">
        <w:t xml:space="preserve">) </w:t>
      </w:r>
      <w:r w:rsidR="00102DD1" w:rsidRPr="00E635F2">
        <w:t xml:space="preserve">1:1000 </w:t>
      </w:r>
      <w:r w:rsidR="00473E1C" w:rsidRPr="00E635F2">
        <w:t xml:space="preserve">in PBS for 10 minutes. Finally, samples </w:t>
      </w:r>
      <w:r w:rsidR="00C662D7" w:rsidRPr="00E635F2">
        <w:t>were</w:t>
      </w:r>
      <w:r w:rsidR="00473E1C" w:rsidRPr="00E635F2">
        <w:t xml:space="preserve"> mounted using 80% glycerol (Sigma-Aldrich</w:t>
      </w:r>
      <w:r w:rsidR="00102DD1" w:rsidRPr="00E635F2">
        <w:t>, Merck</w:t>
      </w:r>
      <w:r w:rsidR="00473E1C" w:rsidRPr="00E635F2">
        <w:t xml:space="preserve">) in Milli-Q water. Imaging is performed using a </w:t>
      </w:r>
      <w:r w:rsidR="00102DD1" w:rsidRPr="00E635F2">
        <w:t>confocal microscope (</w:t>
      </w:r>
      <w:r w:rsidR="00473E1C" w:rsidRPr="00E635F2">
        <w:t>LSM 700</w:t>
      </w:r>
      <w:r w:rsidR="00102DD1" w:rsidRPr="00E635F2">
        <w:t>, Zeiss, Milan, Italy)</w:t>
      </w:r>
      <w:r w:rsidR="00473E1C" w:rsidRPr="00E635F2">
        <w:t xml:space="preserve">. </w:t>
      </w:r>
    </w:p>
    <w:p w14:paraId="00000060" w14:textId="34A7E641" w:rsidR="00C314E0" w:rsidRPr="00E635F2" w:rsidRDefault="003D595D" w:rsidP="00366A80">
      <w:pPr>
        <w:pBdr>
          <w:top w:val="nil"/>
          <w:left w:val="nil"/>
          <w:bottom w:val="nil"/>
          <w:right w:val="nil"/>
          <w:between w:val="nil"/>
        </w:pBdr>
        <w:spacing w:before="280" w:after="280" w:line="276" w:lineRule="auto"/>
        <w:jc w:val="both"/>
        <w:rPr>
          <w:color w:val="000000"/>
        </w:rPr>
      </w:pPr>
      <w:r w:rsidRPr="00E635F2">
        <w:rPr>
          <w:i/>
          <w:color w:val="000000"/>
        </w:rPr>
        <w:lastRenderedPageBreak/>
        <w:t>Spheroid formation and characterization</w:t>
      </w:r>
      <w:r w:rsidRPr="00E635F2">
        <w:rPr>
          <w:color w:val="000000"/>
        </w:rPr>
        <w:t xml:space="preserve">: U87 </w:t>
      </w:r>
      <w:r w:rsidR="00655553" w:rsidRPr="00E635F2">
        <w:rPr>
          <w:color w:val="000000"/>
        </w:rPr>
        <w:t xml:space="preserve">glioblastoma cells </w:t>
      </w:r>
      <w:r w:rsidRPr="00E635F2">
        <w:rPr>
          <w:color w:val="000000"/>
        </w:rPr>
        <w:t>(U</w:t>
      </w:r>
      <w:r w:rsidR="00FD6603" w:rsidRPr="00E635F2">
        <w:rPr>
          <w:color w:val="000000"/>
        </w:rPr>
        <w:t>-</w:t>
      </w:r>
      <w:r w:rsidRPr="00E635F2">
        <w:rPr>
          <w:color w:val="000000"/>
        </w:rPr>
        <w:t>87</w:t>
      </w:r>
      <w:r w:rsidR="00FD6603" w:rsidRPr="00E635F2">
        <w:rPr>
          <w:color w:val="000000"/>
        </w:rPr>
        <w:t xml:space="preserve"> MG</w:t>
      </w:r>
      <w:r w:rsidRPr="00E635F2">
        <w:rPr>
          <w:color w:val="000000"/>
        </w:rPr>
        <w:t>, ATCC HTB-14</w:t>
      </w:r>
      <w:r w:rsidRPr="00E635F2">
        <w:rPr>
          <w:color w:val="000000"/>
          <w:vertAlign w:val="superscript"/>
        </w:rPr>
        <w:t>TM</w:t>
      </w:r>
      <w:r w:rsidRPr="00E635F2">
        <w:rPr>
          <w:color w:val="000000"/>
        </w:rPr>
        <w:t xml:space="preserve">) </w:t>
      </w:r>
      <w:r w:rsidR="00655553" w:rsidRPr="00E635F2">
        <w:rPr>
          <w:color w:val="000000"/>
        </w:rPr>
        <w:t>were</w:t>
      </w:r>
      <w:r w:rsidRPr="00E635F2">
        <w:rPr>
          <w:color w:val="000000"/>
        </w:rPr>
        <w:t xml:space="preserve"> maintained </w:t>
      </w:r>
      <w:r w:rsidR="00655553" w:rsidRPr="00E635F2">
        <w:rPr>
          <w:color w:val="000000"/>
        </w:rPr>
        <w:t>as</w:t>
      </w:r>
      <w:r w:rsidRPr="00E635F2">
        <w:rPr>
          <w:color w:val="000000"/>
        </w:rPr>
        <w:t xml:space="preserve"> monolayer</w:t>
      </w:r>
      <w:r w:rsidR="00655553" w:rsidRPr="00E635F2">
        <w:rPr>
          <w:color w:val="000000"/>
        </w:rPr>
        <w:t>s</w:t>
      </w:r>
      <w:r w:rsidRPr="00E635F2">
        <w:rPr>
          <w:color w:val="000000"/>
        </w:rPr>
        <w:t xml:space="preserve"> in DMEM high glucose (Sial</w:t>
      </w:r>
      <w:r w:rsidR="007C2805" w:rsidRPr="00E635F2">
        <w:rPr>
          <w:color w:val="000000"/>
        </w:rPr>
        <w:t xml:space="preserve"> </w:t>
      </w:r>
      <w:proofErr w:type="spellStart"/>
      <w:r w:rsidR="007C2805" w:rsidRPr="00E635F2">
        <w:rPr>
          <w:color w:val="000000"/>
        </w:rPr>
        <w:t>s.r.l</w:t>
      </w:r>
      <w:proofErr w:type="spellEnd"/>
      <w:r w:rsidR="007C2805" w:rsidRPr="00E635F2">
        <w:rPr>
          <w:color w:val="000000"/>
        </w:rPr>
        <w:t>.</w:t>
      </w:r>
      <w:r w:rsidRPr="00E635F2">
        <w:rPr>
          <w:color w:val="000000"/>
        </w:rPr>
        <w:t xml:space="preserve">) supplemented with 10% </w:t>
      </w:r>
      <w:r w:rsidR="00655553" w:rsidRPr="00E635F2">
        <w:rPr>
          <w:color w:val="000000"/>
        </w:rPr>
        <w:t>FBS</w:t>
      </w:r>
      <w:r w:rsidR="00F6592F" w:rsidRPr="00E635F2">
        <w:rPr>
          <w:color w:val="000000"/>
        </w:rPr>
        <w:t xml:space="preserve"> (</w:t>
      </w:r>
      <w:r w:rsidRPr="00E635F2">
        <w:rPr>
          <w:color w:val="000000"/>
        </w:rPr>
        <w:t>Thermo Fisher</w:t>
      </w:r>
      <w:r w:rsidR="00102DD1" w:rsidRPr="00E635F2">
        <w:rPr>
          <w:color w:val="000000"/>
        </w:rPr>
        <w:t xml:space="preserve"> Scientific, Waltham, MA, USA</w:t>
      </w:r>
      <w:r w:rsidRPr="00E635F2">
        <w:rPr>
          <w:color w:val="000000"/>
        </w:rPr>
        <w:t xml:space="preserve">), 1% </w:t>
      </w:r>
      <w:r w:rsidR="00655553" w:rsidRPr="00E635F2">
        <w:rPr>
          <w:color w:val="000000"/>
        </w:rPr>
        <w:t>MEM non-essential amino acids (NEAA</w:t>
      </w:r>
      <w:r w:rsidR="002E093C" w:rsidRPr="00E635F2">
        <w:rPr>
          <w:color w:val="000000"/>
        </w:rPr>
        <w:t xml:space="preserve">, </w:t>
      </w:r>
      <w:r w:rsidRPr="00E635F2">
        <w:rPr>
          <w:color w:val="000000"/>
        </w:rPr>
        <w:t>Thermo Fisher</w:t>
      </w:r>
      <w:r w:rsidR="00BE5EAA" w:rsidRPr="00E635F2">
        <w:rPr>
          <w:color w:val="000000"/>
        </w:rPr>
        <w:t xml:space="preserve"> Scientific</w:t>
      </w:r>
      <w:r w:rsidRPr="00E635F2">
        <w:rPr>
          <w:color w:val="000000"/>
        </w:rPr>
        <w:t xml:space="preserve">) and 1% </w:t>
      </w:r>
      <w:r w:rsidR="00F6592F" w:rsidRPr="00E635F2">
        <w:rPr>
          <w:color w:val="000000"/>
        </w:rPr>
        <w:t xml:space="preserve">P/S </w:t>
      </w:r>
      <w:r w:rsidRPr="00E635F2">
        <w:rPr>
          <w:color w:val="000000"/>
        </w:rPr>
        <w:t>(Sial</w:t>
      </w:r>
      <w:r w:rsidR="007C2805" w:rsidRPr="00E635F2">
        <w:rPr>
          <w:color w:val="000000"/>
        </w:rPr>
        <w:t xml:space="preserve"> </w:t>
      </w:r>
      <w:proofErr w:type="spellStart"/>
      <w:r w:rsidR="007C2805" w:rsidRPr="00E635F2">
        <w:rPr>
          <w:color w:val="000000"/>
        </w:rPr>
        <w:t>s.r.l</w:t>
      </w:r>
      <w:proofErr w:type="spellEnd"/>
      <w:r w:rsidR="007C2805" w:rsidRPr="00E635F2">
        <w:rPr>
          <w:color w:val="000000"/>
        </w:rPr>
        <w:t>.</w:t>
      </w:r>
      <w:r w:rsidRPr="00E635F2">
        <w:rPr>
          <w:color w:val="000000"/>
        </w:rPr>
        <w:t>)</w:t>
      </w:r>
      <w:r w:rsidR="00655553" w:rsidRPr="00E635F2">
        <w:rPr>
          <w:color w:val="000000"/>
        </w:rPr>
        <w:t>,</w:t>
      </w:r>
      <w:r w:rsidRPr="00E635F2">
        <w:rPr>
          <w:color w:val="000000"/>
        </w:rPr>
        <w:t xml:space="preserve"> under standard </w:t>
      </w:r>
      <w:r w:rsidR="00655553" w:rsidRPr="00E635F2">
        <w:rPr>
          <w:color w:val="000000"/>
        </w:rPr>
        <w:t xml:space="preserve">cell </w:t>
      </w:r>
      <w:r w:rsidRPr="00E635F2">
        <w:rPr>
          <w:color w:val="000000"/>
        </w:rPr>
        <w:t>conditions (37°C</w:t>
      </w:r>
      <w:r w:rsidR="00655553" w:rsidRPr="00E635F2">
        <w:rPr>
          <w:color w:val="000000"/>
        </w:rPr>
        <w:t>,</w:t>
      </w:r>
      <w:r w:rsidRPr="00E635F2">
        <w:rPr>
          <w:color w:val="000000"/>
        </w:rPr>
        <w:t xml:space="preserve"> 5% CO</w:t>
      </w:r>
      <w:r w:rsidRPr="00E635F2">
        <w:rPr>
          <w:color w:val="000000"/>
          <w:vertAlign w:val="subscript"/>
        </w:rPr>
        <w:t>2</w:t>
      </w:r>
      <w:r w:rsidR="00655553" w:rsidRPr="00E635F2">
        <w:rPr>
          <w:color w:val="000000"/>
        </w:rPr>
        <w:t xml:space="preserve">, </w:t>
      </w:r>
      <w:r w:rsidRPr="00E635F2">
        <w:rPr>
          <w:color w:val="000000"/>
        </w:rPr>
        <w:t xml:space="preserve">humidified atmosphere). </w:t>
      </w:r>
      <w:r w:rsidR="00655553" w:rsidRPr="00E635F2">
        <w:rPr>
          <w:color w:val="000000"/>
        </w:rPr>
        <w:t>Media were refreshed</w:t>
      </w:r>
      <w:r w:rsidRPr="00E635F2">
        <w:rPr>
          <w:color w:val="000000"/>
        </w:rPr>
        <w:t xml:space="preserve"> every 2–3 days. Spheroids </w:t>
      </w:r>
      <w:r w:rsidR="00655553" w:rsidRPr="00E635F2">
        <w:rPr>
          <w:color w:val="000000"/>
        </w:rPr>
        <w:t>were generated</w:t>
      </w:r>
      <w:r w:rsidRPr="00E635F2">
        <w:rPr>
          <w:color w:val="000000"/>
        </w:rPr>
        <w:t xml:space="preserve"> from </w:t>
      </w:r>
      <w:proofErr w:type="spellStart"/>
      <w:r w:rsidRPr="00E635F2">
        <w:rPr>
          <w:color w:val="000000"/>
        </w:rPr>
        <w:t>trypsinized</w:t>
      </w:r>
      <w:proofErr w:type="spellEnd"/>
      <w:r w:rsidRPr="00E635F2">
        <w:rPr>
          <w:color w:val="000000"/>
        </w:rPr>
        <w:t xml:space="preserve"> monolayer cells, as previously described.</w:t>
      </w:r>
      <w:r w:rsidR="001D6B1C" w:rsidRPr="00E635F2">
        <w:rPr>
          <w:color w:val="000000"/>
          <w:vertAlign w:val="superscript"/>
        </w:rPr>
        <w:t xml:space="preserve"> </w:t>
      </w:r>
      <w:r w:rsidR="001D6B1C" w:rsidRPr="00E635F2">
        <w:rPr>
          <w:color w:val="000000"/>
          <w:vertAlign w:val="superscript"/>
        </w:rPr>
        <w:fldChar w:fldCharType="begin" w:fldLock="1"/>
      </w:r>
      <w:r w:rsidR="001D6B1C" w:rsidRPr="00E635F2">
        <w:rPr>
          <w:color w:val="000000"/>
          <w:vertAlign w:val="superscript"/>
        </w:rPr>
        <w:instrText>ADDIN CSL_CITATION {"citationItems":[{"id":"ITEM-1","itemData":{"DOI":"10.3390/foods13244167","ISSN":"2304-8158","abstract":"Mycotoxins are among the most concerning natural toxic food contaminants. Over the years, significant efforts have been made to characterize the risk associated with their exposure. However, assessing their toxicity has so far been elusive due to the lack of adequate models that closely mimic the physiological conditions of human cells in vivo. Here, we present the SpheroFlow Device (SFD), an efficient microfluidic platform designed, manufactured, and validated to evaluate mycotoxin-induced cytotoxicity under dynamic and continuous exposure in 3D culture settings. In the present study, we integrated human neuroblastoma SH-SY5Y spheroids into the SFD to assess the acute toxicity induced by the mycotoxins ochratoxin A (OTA) and patulin (PAT). The developed system enabled qualitative and quantitative measurements of concentration–response relationships and provided accurate control over the culture microenvironment. Our findings show that by enhancing 3D culture model by applying dynamic flow, SH-SY5Y spheroids exhibited different sensitivities to OTA and PAT compared to conventional static SH-SY5Y spheroids, confirming the critical role of culture models in mycotoxin toxicity assessment. This is the first study assessing the neurotoxicity of OTA and PAT on 3D neuroblastoma spheroids considering the contribution of fluid flow.","author":[{"dropping-particle":"","family":"Zingales","given":"Veronica","non-dropping-particle":"","parse-names":false,"suffix":""},{"dropping-particle":"","family":"Piunti","given":"Caterina","non-dropping-particle":"","parse-names":false,"suffix":""},{"dropping-particle":"","family":"Micheli","given":"Sara","non-dropping-particle":"","parse-names":false,"suffix":""},{"dropping-particle":"","family":"Cimetta","given":"Elisa","non-dropping-particle":"","parse-names":false,"suffix":""},{"dropping-particle":"","family":"Ruiz","given":"María-José","non-dropping-particle":"","parse-names":false,"suffix":""}],"container-title":"Foods","id":"ITEM-1","issue":"24","issued":{"date-parts":[["2024"]]},"title":"Development of an Easy-To-Use Microfluidic System to Assess Dynamic Exposure to Mycotoxins in 3D Culture Models: Evaluation of Ochratoxin A and Patulin Cytotoxicity","type":"article-journal","volume":"13"},"uris":["http://www.mendeley.com/documents/?uuid=ee7bb37f-8cde-499b-867b-4e7ef29c0653"]}],"mendeley":{"formattedCitation":"&lt;sup&gt;[37]&lt;/sup&gt;","plainTextFormattedCitation":"[37]","previouslyFormattedCitation":"&lt;sup&gt;[37]&lt;/sup&gt;"},"properties":{"noteIndex":0},"schema":"https://github.com/citation-style-language/schema/raw/master/csl-citation.json"}</w:instrText>
      </w:r>
      <w:r w:rsidR="001D6B1C" w:rsidRPr="00E635F2">
        <w:rPr>
          <w:color w:val="000000"/>
          <w:vertAlign w:val="superscript"/>
        </w:rPr>
        <w:fldChar w:fldCharType="separate"/>
      </w:r>
      <w:r w:rsidR="001D6B1C" w:rsidRPr="00E635F2">
        <w:rPr>
          <w:noProof/>
          <w:color w:val="000000"/>
          <w:vertAlign w:val="superscript"/>
        </w:rPr>
        <w:t>[37]</w:t>
      </w:r>
      <w:r w:rsidR="001D6B1C" w:rsidRPr="00E635F2">
        <w:rPr>
          <w:color w:val="000000"/>
          <w:vertAlign w:val="superscript"/>
        </w:rPr>
        <w:fldChar w:fldCharType="end"/>
      </w:r>
      <w:r w:rsidRPr="00E635F2">
        <w:rPr>
          <w:color w:val="000000"/>
        </w:rPr>
        <w:t xml:space="preserve"> Briefly, 200 </w:t>
      </w:r>
      <w:proofErr w:type="spellStart"/>
      <w:r w:rsidRPr="00E635F2">
        <w:rPr>
          <w:color w:val="000000"/>
        </w:rPr>
        <w:t>μL</w:t>
      </w:r>
      <w:proofErr w:type="spellEnd"/>
      <w:r w:rsidRPr="00E635F2">
        <w:rPr>
          <w:color w:val="000000"/>
        </w:rPr>
        <w:t xml:space="preserve"> of cell suspension containing 2</w:t>
      </w:r>
      <w:r w:rsidR="00655553" w:rsidRPr="00E635F2">
        <w:rPr>
          <w:color w:val="000000"/>
        </w:rPr>
        <w:t>×</w:t>
      </w:r>
      <w:r w:rsidRPr="00E635F2">
        <w:rPr>
          <w:color w:val="000000"/>
        </w:rPr>
        <w:t>10</w:t>
      </w:r>
      <w:r w:rsidRPr="00E635F2">
        <w:rPr>
          <w:color w:val="000000"/>
          <w:vertAlign w:val="superscript"/>
        </w:rPr>
        <w:t>3</w:t>
      </w:r>
      <w:r w:rsidRPr="00E635F2">
        <w:rPr>
          <w:color w:val="000000"/>
        </w:rPr>
        <w:t xml:space="preserve"> cells </w:t>
      </w:r>
      <w:r w:rsidR="00655553" w:rsidRPr="00E635F2">
        <w:rPr>
          <w:color w:val="000000"/>
        </w:rPr>
        <w:t>were seeded</w:t>
      </w:r>
      <w:r w:rsidRPr="00E635F2">
        <w:rPr>
          <w:color w:val="000000"/>
        </w:rPr>
        <w:t xml:space="preserve"> into each well of an Ultra-Low Attachment (ULA) 96-well round bottom plate (Corning</w:t>
      </w:r>
      <w:r w:rsidRPr="00E635F2">
        <w:rPr>
          <w:color w:val="000000"/>
          <w:vertAlign w:val="superscript"/>
        </w:rPr>
        <w:t>®</w:t>
      </w:r>
      <w:r w:rsidR="00BE5EAA" w:rsidRPr="00E635F2">
        <w:rPr>
          <w:color w:val="000000"/>
        </w:rPr>
        <w:t>, Thermo Fisher Scientific</w:t>
      </w:r>
      <w:r w:rsidRPr="00E635F2">
        <w:rPr>
          <w:color w:val="000000"/>
        </w:rPr>
        <w:t xml:space="preserve">) and centrifuged at </w:t>
      </w:r>
      <w:r w:rsidR="007C2805" w:rsidRPr="00E635F2">
        <w:rPr>
          <w:color w:val="000000"/>
        </w:rPr>
        <w:t xml:space="preserve">130 g </w:t>
      </w:r>
      <w:r w:rsidRPr="00E635F2">
        <w:rPr>
          <w:color w:val="000000"/>
        </w:rPr>
        <w:t>for 10 min</w:t>
      </w:r>
      <w:r w:rsidR="003F5931" w:rsidRPr="00E635F2">
        <w:rPr>
          <w:color w:val="000000"/>
        </w:rPr>
        <w:t>utes</w:t>
      </w:r>
      <w:r w:rsidRPr="00E635F2">
        <w:rPr>
          <w:color w:val="000000"/>
        </w:rPr>
        <w:t xml:space="preserve"> to promote </w:t>
      </w:r>
      <w:r w:rsidR="0049639E" w:rsidRPr="00E635F2">
        <w:rPr>
          <w:color w:val="000000"/>
        </w:rPr>
        <w:t>aggregation</w:t>
      </w:r>
      <w:r w:rsidRPr="00E635F2">
        <w:rPr>
          <w:color w:val="000000"/>
        </w:rPr>
        <w:t xml:space="preserve">. </w:t>
      </w:r>
      <w:r w:rsidR="0049639E" w:rsidRPr="00E635F2">
        <w:rPr>
          <w:color w:val="000000"/>
        </w:rPr>
        <w:t>S</w:t>
      </w:r>
      <w:r w:rsidRPr="00E635F2">
        <w:rPr>
          <w:color w:val="000000"/>
        </w:rPr>
        <w:t xml:space="preserve">pheroids </w:t>
      </w:r>
      <w:r w:rsidR="0049639E" w:rsidRPr="00E635F2">
        <w:rPr>
          <w:color w:val="000000"/>
        </w:rPr>
        <w:t>were</w:t>
      </w:r>
      <w:r w:rsidRPr="00E635F2">
        <w:rPr>
          <w:color w:val="000000"/>
        </w:rPr>
        <w:t xml:space="preserve"> cultured for 7 days, with medium replenishment on day 4. </w:t>
      </w:r>
      <w:r w:rsidR="0049639E" w:rsidRPr="00E635F2">
        <w:rPr>
          <w:color w:val="000000"/>
        </w:rPr>
        <w:t xml:space="preserve">Spheroid morphology and growth were monitored via brightfield imaging (Evos Imaging System, </w:t>
      </w:r>
      <w:proofErr w:type="spellStart"/>
      <w:r w:rsidR="0049639E" w:rsidRPr="00E635F2">
        <w:rPr>
          <w:color w:val="000000"/>
        </w:rPr>
        <w:t>Thermo</w:t>
      </w:r>
      <w:proofErr w:type="spellEnd"/>
      <w:r w:rsidR="0049639E" w:rsidRPr="00E635F2">
        <w:rPr>
          <w:color w:val="000000"/>
        </w:rPr>
        <w:t xml:space="preserve"> Fisher).</w:t>
      </w:r>
      <w:r w:rsidRPr="00E635F2">
        <w:rPr>
          <w:color w:val="000000"/>
        </w:rPr>
        <w:t xml:space="preserve"> </w:t>
      </w:r>
      <w:r w:rsidR="00B26517" w:rsidRPr="00E635F2">
        <w:rPr>
          <w:color w:val="000000"/>
        </w:rPr>
        <w:t xml:space="preserve">Morphometric parameters, including size, solidity, and sphericity index (SI), were analyzed using </w:t>
      </w:r>
      <w:proofErr w:type="spellStart"/>
      <w:r w:rsidR="00B26517" w:rsidRPr="00E635F2">
        <w:rPr>
          <w:color w:val="000000"/>
        </w:rPr>
        <w:t>AnaSP</w:t>
      </w:r>
      <w:proofErr w:type="spellEnd"/>
      <w:r w:rsidR="00B26517" w:rsidRPr="00E635F2">
        <w:rPr>
          <w:color w:val="000000"/>
        </w:rPr>
        <w:t>, an open-source software</w:t>
      </w:r>
      <w:r w:rsidRPr="00E635F2">
        <w:rPr>
          <w:color w:val="000000"/>
        </w:rPr>
        <w:t>.</w:t>
      </w:r>
      <w:r w:rsidR="001D6B1C" w:rsidRPr="00E635F2">
        <w:rPr>
          <w:color w:val="000000"/>
          <w:vertAlign w:val="superscript"/>
        </w:rPr>
        <w:t xml:space="preserve"> </w:t>
      </w:r>
      <w:r w:rsidR="001D6B1C" w:rsidRPr="00E635F2">
        <w:rPr>
          <w:color w:val="000000"/>
          <w:vertAlign w:val="superscript"/>
        </w:rPr>
        <w:fldChar w:fldCharType="begin" w:fldLock="1"/>
      </w:r>
      <w:r w:rsidR="001D6B1C" w:rsidRPr="00E635F2">
        <w:rPr>
          <w:color w:val="000000"/>
          <w:vertAlign w:val="superscript"/>
        </w:rPr>
        <w:instrText>ADDIN CSL_CITATION {"citationItems":[{"id":"ITEM-1","itemData":{"DOI":"https://doi.org/10.1016/j.cmpb.2015.02.006","ISSN":"0169-2607","abstract":"Today, more and more biological laboratories use 3D cell cultures and tissues grown in vitro as a 3D model of in vivo tumours and metastases. In the last decades, it has been extensively established that multicellular spheroids represent an efficient model to validate effects of drugs and treatments for human care applications. However, a lack of methods for quantitative analysis limits the usage of spheroids as models for routine experiments. Several methods have been proposed in literature to perform high throughput experiments employing spheroids by automatically computing different morphological parameters, such as diameter, volume and sphericity. Nevertheless, these systems are typically grounded on expensive automated technologies, that make the suggested solutions affordable only for a limited subset of laboratories, frequently performing high content screening analysis. In this work we propose AnaSP, an open source software suitable for automatically estimating several morphological parameters of spheroids, by simply analyzing brightfield images acquired with a standard widefield microscope, also not endowed with a motorized stage. The experiments performed proved sensitivity and precision of the segmentation method proposed, and excellent reliability of AnaSP to compute several morphological parameters of spheroids imaged in different conditions. AnaSP is distributed as an open source software tool. Its modular architecture and graphical user interface make it attractive also for researchers who do not work in areas of computer vision and suitable for both high content screenings and occasional spheroid-based experiments.","author":[{"dropping-particle":"","family":"Piccinini","given":"Filippo","non-dropping-particle":"","parse-names":false,"suffix":""}],"container-title":"Computer Methods and Programs in Biomedicine","id":"ITEM-1","issue":"1","issued":{"date-parts":[["2015"]]},"page":"43-52","title":"AnaSP: A software suite for automatic image analysis of multicellular spheroids","type":"article-journal","volume":"119"},"uris":["http://www.mendeley.com/documents/?uuid=2a0961aa-13c2-46df-abe2-ea3bacae9336"]}],"mendeley":{"formattedCitation":"&lt;sup&gt;[38]&lt;/sup&gt;","plainTextFormattedCitation":"[38]","previouslyFormattedCitation":"&lt;sup&gt;[38]&lt;/sup&gt;"},"properties":{"noteIndex":0},"schema":"https://github.com/citation-style-language/schema/raw/master/csl-citation.json"}</w:instrText>
      </w:r>
      <w:r w:rsidR="001D6B1C" w:rsidRPr="00E635F2">
        <w:rPr>
          <w:color w:val="000000"/>
          <w:vertAlign w:val="superscript"/>
        </w:rPr>
        <w:fldChar w:fldCharType="separate"/>
      </w:r>
      <w:r w:rsidR="001D6B1C" w:rsidRPr="00E635F2">
        <w:rPr>
          <w:noProof/>
          <w:color w:val="000000"/>
          <w:vertAlign w:val="superscript"/>
        </w:rPr>
        <w:t>[38]</w:t>
      </w:r>
      <w:r w:rsidR="001D6B1C" w:rsidRPr="00E635F2">
        <w:rPr>
          <w:color w:val="000000"/>
          <w:vertAlign w:val="superscript"/>
        </w:rPr>
        <w:fldChar w:fldCharType="end"/>
      </w:r>
      <w:r w:rsidRPr="00E635F2">
        <w:rPr>
          <w:color w:val="000000"/>
        </w:rPr>
        <w:t xml:space="preserve"> </w:t>
      </w:r>
      <w:r w:rsidR="00B26517" w:rsidRPr="00E635F2">
        <w:rPr>
          <w:color w:val="000000"/>
        </w:rPr>
        <w:t>On day 7, viability was assessed using a</w:t>
      </w:r>
      <w:r w:rsidRPr="00E635F2">
        <w:rPr>
          <w:color w:val="000000"/>
        </w:rPr>
        <w:t xml:space="preserve"> Live/Dead assay</w:t>
      </w:r>
      <w:r w:rsidR="00B26517" w:rsidRPr="00E635F2">
        <w:rPr>
          <w:color w:val="000000"/>
        </w:rPr>
        <w:t xml:space="preserve"> with</w:t>
      </w:r>
      <w:r w:rsidRPr="00E635F2">
        <w:rPr>
          <w:color w:val="000000"/>
        </w:rPr>
        <w:t xml:space="preserve"> </w:t>
      </w:r>
      <w:proofErr w:type="spellStart"/>
      <w:r w:rsidRPr="00E635F2">
        <w:rPr>
          <w:color w:val="000000"/>
        </w:rPr>
        <w:t>Calcein</w:t>
      </w:r>
      <w:proofErr w:type="spellEnd"/>
      <w:r w:rsidRPr="00E635F2">
        <w:rPr>
          <w:color w:val="000000"/>
        </w:rPr>
        <w:t>-AM (1:1000, Sigma-Aldrich</w:t>
      </w:r>
      <w:r w:rsidR="00BE5EAA" w:rsidRPr="00E635F2">
        <w:rPr>
          <w:color w:val="000000"/>
        </w:rPr>
        <w:t>, Merck</w:t>
      </w:r>
      <w:r w:rsidRPr="00E635F2">
        <w:rPr>
          <w:color w:val="000000"/>
        </w:rPr>
        <w:t>), Hoechst (1:500, Sigma-Aldrich</w:t>
      </w:r>
      <w:r w:rsidR="00BE5EAA" w:rsidRPr="00E635F2">
        <w:rPr>
          <w:color w:val="000000"/>
        </w:rPr>
        <w:t>, Merck</w:t>
      </w:r>
      <w:r w:rsidRPr="00E635F2">
        <w:rPr>
          <w:color w:val="000000"/>
        </w:rPr>
        <w:t>) and Propidium Iodide (1:250, Thermo Fisher</w:t>
      </w:r>
      <w:r w:rsidR="00BE5EAA" w:rsidRPr="00E635F2">
        <w:rPr>
          <w:color w:val="000000"/>
        </w:rPr>
        <w:t xml:space="preserve"> Scientific</w:t>
      </w:r>
      <w:r w:rsidRPr="00E635F2">
        <w:rPr>
          <w:color w:val="000000"/>
        </w:rPr>
        <w:t xml:space="preserve">) in PBS. </w:t>
      </w:r>
      <w:r w:rsidR="00B26517" w:rsidRPr="00E635F2">
        <w:rPr>
          <w:color w:val="000000"/>
        </w:rPr>
        <w:t>After replacing the culture medium</w:t>
      </w:r>
      <w:r w:rsidRPr="00E635F2">
        <w:rPr>
          <w:color w:val="000000"/>
        </w:rPr>
        <w:t xml:space="preserve"> with 100 </w:t>
      </w:r>
      <w:proofErr w:type="spellStart"/>
      <w:r w:rsidRPr="00E635F2">
        <w:rPr>
          <w:color w:val="000000"/>
        </w:rPr>
        <w:t>μl</w:t>
      </w:r>
      <w:proofErr w:type="spellEnd"/>
      <w:r w:rsidRPr="00E635F2">
        <w:rPr>
          <w:color w:val="000000"/>
        </w:rPr>
        <w:t xml:space="preserve"> of staining solution</w:t>
      </w:r>
      <w:r w:rsidR="00B26517" w:rsidRPr="00E635F2">
        <w:rPr>
          <w:color w:val="000000"/>
        </w:rPr>
        <w:t>,</w:t>
      </w:r>
      <w:r w:rsidRPr="00E635F2">
        <w:rPr>
          <w:color w:val="000000"/>
        </w:rPr>
        <w:t xml:space="preserve"> spheroids </w:t>
      </w:r>
      <w:r w:rsidR="00B26517" w:rsidRPr="00E635F2">
        <w:rPr>
          <w:color w:val="000000"/>
        </w:rPr>
        <w:t>were</w:t>
      </w:r>
      <w:r w:rsidRPr="00E635F2">
        <w:rPr>
          <w:color w:val="000000"/>
        </w:rPr>
        <w:t xml:space="preserve"> incubated for 30 minutes at room temperature</w:t>
      </w:r>
      <w:r w:rsidR="00B26517" w:rsidRPr="00E635F2">
        <w:rPr>
          <w:color w:val="000000"/>
        </w:rPr>
        <w:t xml:space="preserve"> in the dark and then </w:t>
      </w:r>
      <w:r w:rsidRPr="00E635F2">
        <w:rPr>
          <w:color w:val="000000"/>
        </w:rPr>
        <w:t xml:space="preserve">imaged </w:t>
      </w:r>
      <w:r w:rsidR="00B26517" w:rsidRPr="00E635F2">
        <w:rPr>
          <w:color w:val="000000"/>
        </w:rPr>
        <w:t>using</w:t>
      </w:r>
      <w:r w:rsidRPr="00E635F2">
        <w:rPr>
          <w:color w:val="000000"/>
        </w:rPr>
        <w:t xml:space="preserve"> a fluorescence microscope (Axio Imager M1, Zeiss). </w:t>
      </w:r>
      <w:r w:rsidR="00541224" w:rsidRPr="00E635F2">
        <w:rPr>
          <w:color w:val="000000"/>
        </w:rPr>
        <w:t xml:space="preserve">For cytoskeletal labeling, spheroids were fixed on day 7 with 4% PFA, </w:t>
      </w:r>
      <w:r w:rsidRPr="00E635F2">
        <w:rPr>
          <w:color w:val="000000"/>
        </w:rPr>
        <w:t xml:space="preserve">permeabilized </w:t>
      </w:r>
      <w:r w:rsidR="00541224" w:rsidRPr="00E635F2">
        <w:rPr>
          <w:color w:val="000000"/>
        </w:rPr>
        <w:t>using</w:t>
      </w:r>
      <w:r w:rsidRPr="00E635F2">
        <w:rPr>
          <w:color w:val="000000"/>
        </w:rPr>
        <w:t xml:space="preserve"> 0.1% Triton X-100</w:t>
      </w:r>
      <w:r w:rsidR="00541224" w:rsidRPr="00E635F2">
        <w:rPr>
          <w:color w:val="000000"/>
        </w:rPr>
        <w:t>,</w:t>
      </w:r>
      <w:r w:rsidRPr="00E635F2">
        <w:rPr>
          <w:color w:val="000000"/>
        </w:rPr>
        <w:t xml:space="preserve"> and incubated </w:t>
      </w:r>
      <w:r w:rsidR="00541224" w:rsidRPr="00E635F2">
        <w:rPr>
          <w:color w:val="000000"/>
        </w:rPr>
        <w:t xml:space="preserve">with CoraLite594-conjugated Phalloidin (1:400, </w:t>
      </w:r>
      <w:proofErr w:type="spellStart"/>
      <w:r w:rsidR="00541224" w:rsidRPr="00E635F2">
        <w:rPr>
          <w:color w:val="000000"/>
        </w:rPr>
        <w:t>Proteintech</w:t>
      </w:r>
      <w:proofErr w:type="spellEnd"/>
      <w:r w:rsidR="00541224" w:rsidRPr="00E635F2">
        <w:rPr>
          <w:color w:val="000000"/>
        </w:rPr>
        <w:t>) in PBS for 1 hour at room temperature</w:t>
      </w:r>
      <w:r w:rsidRPr="00E635F2">
        <w:rPr>
          <w:color w:val="000000"/>
        </w:rPr>
        <w:t xml:space="preserve">. </w:t>
      </w:r>
      <w:r w:rsidR="003B3AF3" w:rsidRPr="00E635F2">
        <w:rPr>
          <w:color w:val="000000"/>
        </w:rPr>
        <w:t xml:space="preserve">Samples were </w:t>
      </w:r>
      <w:r w:rsidRPr="00E635F2">
        <w:rPr>
          <w:color w:val="000000"/>
        </w:rPr>
        <w:t>washed</w:t>
      </w:r>
      <w:r w:rsidR="003B3AF3" w:rsidRPr="00E635F2">
        <w:rPr>
          <w:color w:val="000000"/>
        </w:rPr>
        <w:t>, stained</w:t>
      </w:r>
      <w:r w:rsidRPr="00E635F2">
        <w:rPr>
          <w:color w:val="000000"/>
        </w:rPr>
        <w:t xml:space="preserve"> with DAPI (1:100) in PBS for 20 minutes</w:t>
      </w:r>
      <w:r w:rsidR="003B3AF3" w:rsidRPr="00E635F2">
        <w:rPr>
          <w:color w:val="000000"/>
        </w:rPr>
        <w:t>, washed again, and finally</w:t>
      </w:r>
      <w:r w:rsidRPr="00E635F2">
        <w:rPr>
          <w:color w:val="000000"/>
        </w:rPr>
        <w:t xml:space="preserve"> </w:t>
      </w:r>
      <w:r w:rsidR="003B3AF3" w:rsidRPr="00E635F2">
        <w:rPr>
          <w:color w:val="000000"/>
        </w:rPr>
        <w:t>imaged using a</w:t>
      </w:r>
      <w:r w:rsidRPr="00E635F2">
        <w:rPr>
          <w:color w:val="000000"/>
        </w:rPr>
        <w:t xml:space="preserve"> Zeiss LSM 700 confocal microscope</w:t>
      </w:r>
      <w:r w:rsidR="00655553" w:rsidRPr="00E635F2">
        <w:rPr>
          <w:color w:val="000000"/>
        </w:rPr>
        <w:t>.</w:t>
      </w:r>
    </w:p>
    <w:p w14:paraId="00000063" w14:textId="4CD191FD" w:rsidR="00C314E0" w:rsidRPr="00E635F2" w:rsidRDefault="003D595D" w:rsidP="00366A80">
      <w:pPr>
        <w:pBdr>
          <w:top w:val="nil"/>
          <w:left w:val="nil"/>
          <w:bottom w:val="nil"/>
          <w:right w:val="nil"/>
          <w:between w:val="nil"/>
        </w:pBdr>
        <w:spacing w:before="280" w:after="280" w:line="276" w:lineRule="auto"/>
        <w:jc w:val="both"/>
        <w:rPr>
          <w:color w:val="000000"/>
        </w:rPr>
      </w:pPr>
      <w:r w:rsidRPr="00E635F2">
        <w:rPr>
          <w:i/>
          <w:color w:val="000000"/>
        </w:rPr>
        <w:t>oHSV-1</w:t>
      </w:r>
      <w:r w:rsidR="002D561D" w:rsidRPr="00E635F2">
        <w:rPr>
          <w:i/>
          <w:color w:val="000000"/>
        </w:rPr>
        <w:t>-</w:t>
      </w:r>
      <w:r w:rsidRPr="00E635F2">
        <w:rPr>
          <w:i/>
          <w:color w:val="000000"/>
        </w:rPr>
        <w:t>mCherry production</w:t>
      </w:r>
      <w:r w:rsidRPr="00E635F2">
        <w:rPr>
          <w:color w:val="000000"/>
        </w:rPr>
        <w:t>: oHSV-1</w:t>
      </w:r>
      <w:r w:rsidR="002D561D" w:rsidRPr="00E635F2">
        <w:rPr>
          <w:color w:val="000000"/>
        </w:rPr>
        <w:t>-</w:t>
      </w:r>
      <w:r w:rsidRPr="00E635F2">
        <w:rPr>
          <w:color w:val="000000"/>
        </w:rPr>
        <w:t xml:space="preserve">mCherry (Δγ34.5/ΔUs12/miRNA124/mCherry-oHSV-1) </w:t>
      </w:r>
      <w:r w:rsidR="004F2707" w:rsidRPr="00E635F2">
        <w:rPr>
          <w:color w:val="000000"/>
        </w:rPr>
        <w:t>is an engineered oncolytic herpes simplex virus type 1 (oHSV-1) with a genomic backbone similar to the clinically approved T-VEC (</w:t>
      </w:r>
      <w:proofErr w:type="spellStart"/>
      <w:r w:rsidR="004F2707" w:rsidRPr="00E635F2">
        <w:rPr>
          <w:color w:val="000000"/>
        </w:rPr>
        <w:t>talimogene</w:t>
      </w:r>
      <w:proofErr w:type="spellEnd"/>
      <w:r w:rsidR="004F2707" w:rsidRPr="00E635F2">
        <w:rPr>
          <w:color w:val="000000"/>
        </w:rPr>
        <w:t xml:space="preserve"> </w:t>
      </w:r>
      <w:proofErr w:type="spellStart"/>
      <w:r w:rsidR="004F2707" w:rsidRPr="00E635F2">
        <w:rPr>
          <w:color w:val="000000"/>
        </w:rPr>
        <w:t>laherparepvec</w:t>
      </w:r>
      <w:proofErr w:type="spellEnd"/>
      <w:r w:rsidR="004F2707" w:rsidRPr="00E635F2">
        <w:rPr>
          <w:color w:val="000000"/>
        </w:rPr>
        <w:t>).</w:t>
      </w:r>
      <w:r w:rsidR="004F2707" w:rsidRPr="00E635F2">
        <w:t xml:space="preserve"> </w:t>
      </w:r>
      <w:r w:rsidR="004F2707" w:rsidRPr="00E635F2">
        <w:rPr>
          <w:color w:val="000000"/>
        </w:rPr>
        <w:t xml:space="preserve">This construct contains deletions of the </w:t>
      </w:r>
      <w:r w:rsidRPr="00E635F2">
        <w:rPr>
          <w:i/>
          <w:color w:val="000000"/>
        </w:rPr>
        <w:t>γ34.5</w:t>
      </w:r>
      <w:r w:rsidRPr="00E635F2">
        <w:rPr>
          <w:color w:val="000000"/>
        </w:rPr>
        <w:t xml:space="preserve"> and </w:t>
      </w:r>
      <w:r w:rsidRPr="00E635F2">
        <w:rPr>
          <w:i/>
          <w:color w:val="000000"/>
        </w:rPr>
        <w:t>Us12</w:t>
      </w:r>
      <w:r w:rsidRPr="00E635F2">
        <w:rPr>
          <w:color w:val="000000"/>
        </w:rPr>
        <w:t xml:space="preserve"> genes, </w:t>
      </w:r>
      <w:r w:rsidR="006E2F46" w:rsidRPr="00E635F2">
        <w:rPr>
          <w:color w:val="000000"/>
        </w:rPr>
        <w:t xml:space="preserve">which contribute to viral </w:t>
      </w:r>
      <w:proofErr w:type="spellStart"/>
      <w:r w:rsidR="006E2F46" w:rsidRPr="00E635F2">
        <w:rPr>
          <w:color w:val="000000"/>
        </w:rPr>
        <w:t>neuroattenuation</w:t>
      </w:r>
      <w:proofErr w:type="spellEnd"/>
      <w:r w:rsidR="006E2F46" w:rsidRPr="00E635F2">
        <w:rPr>
          <w:color w:val="000000"/>
        </w:rPr>
        <w:t xml:space="preserve">, but lacks the two copies of the human GM-CSF gene present in T-VEC. Additionally, it </w:t>
      </w:r>
      <w:r w:rsidR="00970900" w:rsidRPr="00E635F2">
        <w:rPr>
          <w:color w:val="000000"/>
        </w:rPr>
        <w:t xml:space="preserve">bears </w:t>
      </w:r>
      <w:r w:rsidR="006E2F46" w:rsidRPr="00E635F2">
        <w:rPr>
          <w:color w:val="000000"/>
        </w:rPr>
        <w:t>an mCherry expression cassette inserted into the UL55</w:t>
      </w:r>
      <w:r w:rsidR="00970900" w:rsidRPr="00E635F2">
        <w:rPr>
          <w:color w:val="000000"/>
        </w:rPr>
        <w:t>-</w:t>
      </w:r>
      <w:r w:rsidR="006E2F46" w:rsidRPr="00E635F2">
        <w:rPr>
          <w:color w:val="000000"/>
        </w:rPr>
        <w:t xml:space="preserve">UL56 intergenic region. Further </w:t>
      </w:r>
      <w:proofErr w:type="spellStart"/>
      <w:r w:rsidR="006E2F46" w:rsidRPr="00E635F2">
        <w:rPr>
          <w:color w:val="000000"/>
        </w:rPr>
        <w:t>neuroattenuation</w:t>
      </w:r>
      <w:proofErr w:type="spellEnd"/>
      <w:r w:rsidR="006E2F46" w:rsidRPr="00E635F2">
        <w:rPr>
          <w:color w:val="000000"/>
        </w:rPr>
        <w:t xml:space="preserve"> is achieved by incorporating miR-124 target sequences downstream of the essential viral replication gene </w:t>
      </w:r>
      <w:r w:rsidR="006E2F46" w:rsidRPr="00E635F2">
        <w:rPr>
          <w:i/>
          <w:color w:val="000000"/>
        </w:rPr>
        <w:t>UL29</w:t>
      </w:r>
      <w:r w:rsidR="006E2F46" w:rsidRPr="00E635F2">
        <w:rPr>
          <w:color w:val="000000"/>
        </w:rPr>
        <w:t xml:space="preserve">, thereby restricting viral replication in mature neurons where miR-124 is expressed. </w:t>
      </w:r>
      <w:r w:rsidRPr="00E635F2">
        <w:rPr>
          <w:color w:val="000000"/>
        </w:rPr>
        <w:t xml:space="preserve">This virus </w:t>
      </w:r>
      <w:r w:rsidR="00BA2A90" w:rsidRPr="00E635F2">
        <w:rPr>
          <w:color w:val="000000"/>
        </w:rPr>
        <w:t>was</w:t>
      </w:r>
      <w:r w:rsidRPr="00E635F2">
        <w:rPr>
          <w:color w:val="000000"/>
        </w:rPr>
        <w:t xml:space="preserve"> obtained via bacterial artificial chromosome (BAC) mutagenesis, </w:t>
      </w:r>
      <w:r w:rsidR="00BA2A90" w:rsidRPr="00E635F2">
        <w:rPr>
          <w:color w:val="000000"/>
        </w:rPr>
        <w:t>following</w:t>
      </w:r>
      <w:r w:rsidRPr="00E635F2">
        <w:rPr>
          <w:color w:val="000000"/>
        </w:rPr>
        <w:t xml:space="preserve"> previously described</w:t>
      </w:r>
      <w:r w:rsidR="00BA2A90" w:rsidRPr="00E635F2">
        <w:rPr>
          <w:color w:val="000000"/>
        </w:rPr>
        <w:t xml:space="preserve"> protocols</w:t>
      </w:r>
      <w:r w:rsidRPr="00E635F2">
        <w:rPr>
          <w:color w:val="000000"/>
        </w:rPr>
        <w:t>.</w:t>
      </w:r>
      <w:r w:rsidR="001D6B1C" w:rsidRPr="00E635F2">
        <w:rPr>
          <w:color w:val="000000"/>
        </w:rPr>
        <w:fldChar w:fldCharType="begin" w:fldLock="1"/>
      </w:r>
      <w:r w:rsidR="00FA7DE8" w:rsidRPr="00E635F2">
        <w:rPr>
          <w:color w:val="000000"/>
        </w:rPr>
        <w:instrText>ADDIN CSL_CITATION {"citationItems":[{"id":"ITEM-1","itemData":{"DOI":"10.2144/000112096","ISSN":"0736-6205 (Print)","PMID":"16526409","abstract":"Red recombination using PCR-amplified selectable markers is a well-established  technique for mutagenesis of large DNA molecules in Escherichia coli. The system has limited efficacy and versatility, however, for markerless modifications including point mutations, deletions, and particularly insertions of longer sequences. Here we describe a procedure that combines Red recombination and cleavage with the homing endonuclease I-SceI to allow highly efficient, PCR-based DNA engineering without retention of unwanted foreign sequences. We applied the method to modification of bacterial artificial chromosome (BAC) constructs harboring an infectious herpesvirus clone to demonstrate the potential of the mutagenesis technique, which was used for the insertion of long sequences such as coding regions or promoters, introduction of point mutations, scarless deletions, and insertion of short sequences such as an epitope tag. The system proved to be highly reliable and efficient and can be adapted for a variety of different modifications of BAC clones, which are fundamental tools for applications as diverse as the generation of transgenic animals and the construction of gene therapy or vaccine vectors.","author":[{"dropping-particle":"","family":"Tischer","given":"B Karsten","non-dropping-particle":"","parse-names":false,"suffix":""},{"dropping-particle":"","family":"Einem","given":"Jens","non-dropping-particle":"von","parse-names":false,"suffix":""},{"dropping-particle":"","family":"Kaufer","given":"Benedikt","non-dropping-particle":"","parse-names":false,"suffix":""},{"dropping-particle":"","family":"Osterrieder","given":"Nikolaus","non-dropping-particle":"","parse-names":false,"suffix":""}],"container-title":"BioTechniques","id":"ITEM-1","issue":"2","issued":{"date-parts":[["2006","2"]]},"language":"eng","page":"191-197","publisher-place":"England","title":"Two-step red-mediated recombination for versatile high-efficiency markerless DNA  manipulation in Escherichia coli.","type":"article-journal","volume":"40"},"uris":["http://www.mendeley.com/documents/?uuid=9e7b5914-297a-4f52-ad87-f064bff24ccd"]}],"mendeley":{"formattedCitation":"&lt;sup&gt;[39]&lt;/sup&gt;","plainTextFormattedCitation":"[39]","previouslyFormattedCitation":"&lt;sup&gt;[39]&lt;/sup&gt;"},"properties":{"noteIndex":0},"schema":"https://github.com/citation-style-language/schema/raw/master/csl-citation.json"}</w:instrText>
      </w:r>
      <w:r w:rsidR="001D6B1C" w:rsidRPr="00E635F2">
        <w:rPr>
          <w:color w:val="000000"/>
        </w:rPr>
        <w:fldChar w:fldCharType="separate"/>
      </w:r>
      <w:r w:rsidR="001D6B1C" w:rsidRPr="00E635F2">
        <w:rPr>
          <w:noProof/>
          <w:color w:val="000000"/>
          <w:vertAlign w:val="superscript"/>
        </w:rPr>
        <w:t>[39]</w:t>
      </w:r>
      <w:r w:rsidR="001D6B1C" w:rsidRPr="00E635F2">
        <w:rPr>
          <w:color w:val="000000"/>
        </w:rPr>
        <w:fldChar w:fldCharType="end"/>
      </w:r>
      <w:r w:rsidR="001D6B1C" w:rsidRPr="00E635F2">
        <w:rPr>
          <w:color w:val="000000"/>
          <w:vertAlign w:val="superscript"/>
        </w:rPr>
        <w:t xml:space="preserve"> </w:t>
      </w:r>
      <w:r w:rsidRPr="00E635F2">
        <w:rPr>
          <w:color w:val="000000"/>
        </w:rPr>
        <w:t xml:space="preserve"> </w:t>
      </w:r>
      <w:r w:rsidR="00BA2A90" w:rsidRPr="00E635F2">
        <w:rPr>
          <w:color w:val="000000"/>
        </w:rPr>
        <w:t>The starting material is</w:t>
      </w:r>
      <w:r w:rsidRPr="00E635F2">
        <w:rPr>
          <w:color w:val="000000"/>
        </w:rPr>
        <w:t xml:space="preserve"> a BAC containing the </w:t>
      </w:r>
      <w:r w:rsidR="00BA2A90" w:rsidRPr="00E635F2">
        <w:rPr>
          <w:color w:val="000000"/>
        </w:rPr>
        <w:t xml:space="preserve">full-length </w:t>
      </w:r>
      <w:r w:rsidRPr="00E635F2">
        <w:rPr>
          <w:color w:val="000000"/>
        </w:rPr>
        <w:t xml:space="preserve">genome of </w:t>
      </w:r>
      <w:r w:rsidR="00BA2A90" w:rsidRPr="00E635F2">
        <w:rPr>
          <w:color w:val="000000"/>
        </w:rPr>
        <w:t>HSV-1 strain</w:t>
      </w:r>
      <w:r w:rsidRPr="00E635F2">
        <w:rPr>
          <w:color w:val="000000"/>
        </w:rPr>
        <w:t xml:space="preserve"> 17</w:t>
      </w:r>
      <w:r w:rsidRPr="00E635F2">
        <w:rPr>
          <w:color w:val="000000"/>
          <w:sz w:val="14"/>
          <w:szCs w:val="14"/>
          <w:vertAlign w:val="superscript"/>
        </w:rPr>
        <w:t>+</w:t>
      </w:r>
      <w:r w:rsidR="00BA2A90" w:rsidRPr="00E635F2">
        <w:rPr>
          <w:color w:val="000000"/>
        </w:rPr>
        <w:t xml:space="preserve">, modified to include </w:t>
      </w:r>
      <w:r w:rsidRPr="00E635F2">
        <w:rPr>
          <w:i/>
          <w:color w:val="000000"/>
        </w:rPr>
        <w:t>γ34.5</w:t>
      </w:r>
      <w:r w:rsidRPr="00E635F2">
        <w:rPr>
          <w:color w:val="000000"/>
        </w:rPr>
        <w:t xml:space="preserve"> </w:t>
      </w:r>
      <w:r w:rsidR="00C2541E" w:rsidRPr="00E635F2">
        <w:rPr>
          <w:color w:val="000000"/>
        </w:rPr>
        <w:t xml:space="preserve">deletions and an eukaryotic cassette </w:t>
      </w:r>
      <w:r w:rsidR="00BA2A90" w:rsidRPr="00E635F2">
        <w:rPr>
          <w:color w:val="000000"/>
        </w:rPr>
        <w:t>encoding</w:t>
      </w:r>
      <w:r w:rsidR="00C2541E" w:rsidRPr="00E635F2">
        <w:rPr>
          <w:color w:val="000000"/>
        </w:rPr>
        <w:t xml:space="preserve"> </w:t>
      </w:r>
      <w:r w:rsidR="005D3921" w:rsidRPr="00E635F2">
        <w:rPr>
          <w:color w:val="000000"/>
        </w:rPr>
        <w:t xml:space="preserve">for </w:t>
      </w:r>
      <w:r w:rsidR="00C2541E" w:rsidRPr="00E635F2">
        <w:rPr>
          <w:color w:val="000000"/>
        </w:rPr>
        <w:t xml:space="preserve">firefly luciferase </w:t>
      </w:r>
      <w:r w:rsidR="00BA2A90" w:rsidRPr="00E635F2">
        <w:rPr>
          <w:color w:val="000000"/>
        </w:rPr>
        <w:t>within</w:t>
      </w:r>
      <w:r w:rsidR="00C2541E" w:rsidRPr="00E635F2">
        <w:rPr>
          <w:color w:val="000000"/>
        </w:rPr>
        <w:t xml:space="preserve"> the UL55-UL56 intergenic region</w:t>
      </w:r>
      <w:r w:rsidR="00BA2A90" w:rsidRPr="00E635F2">
        <w:rPr>
          <w:color w:val="000000"/>
        </w:rPr>
        <w:t>. This BAC</w:t>
      </w:r>
      <w:r w:rsidR="00C2541E" w:rsidRPr="00E635F2">
        <w:rPr>
          <w:color w:val="000000"/>
        </w:rPr>
        <w:t xml:space="preserve"> was kindly provided by Beate </w:t>
      </w:r>
      <w:proofErr w:type="spellStart"/>
      <w:r w:rsidR="00C2541E" w:rsidRPr="00E635F2">
        <w:rPr>
          <w:color w:val="000000"/>
        </w:rPr>
        <w:t>Sodeik</w:t>
      </w:r>
      <w:proofErr w:type="spellEnd"/>
      <w:r w:rsidR="00C2541E" w:rsidRPr="00E635F2">
        <w:rPr>
          <w:color w:val="000000"/>
        </w:rPr>
        <w:t xml:space="preserve"> (Hannover Medical School, Germany).</w:t>
      </w:r>
      <w:r w:rsidR="009C1566" w:rsidRPr="00E635F2">
        <w:rPr>
          <w:color w:val="000000"/>
        </w:rPr>
        <w:t xml:space="preserve"> To reconstitute infectious virus, the modified</w:t>
      </w:r>
      <w:r w:rsidR="0033058E" w:rsidRPr="00E635F2">
        <w:rPr>
          <w:color w:val="000000"/>
        </w:rPr>
        <w:t xml:space="preserve"> </w:t>
      </w:r>
      <w:r w:rsidRPr="00E635F2">
        <w:rPr>
          <w:color w:val="000000"/>
        </w:rPr>
        <w:t xml:space="preserve">BAC </w:t>
      </w:r>
      <w:r w:rsidR="009C1566" w:rsidRPr="00E635F2">
        <w:rPr>
          <w:color w:val="000000"/>
        </w:rPr>
        <w:t>was</w:t>
      </w:r>
      <w:r w:rsidRPr="00E635F2">
        <w:rPr>
          <w:color w:val="000000"/>
        </w:rPr>
        <w:t xml:space="preserve"> transfected in</w:t>
      </w:r>
      <w:r w:rsidR="009C1566" w:rsidRPr="00E635F2">
        <w:rPr>
          <w:color w:val="000000"/>
        </w:rPr>
        <w:t>to</w:t>
      </w:r>
      <w:r w:rsidRPr="00E635F2">
        <w:rPr>
          <w:color w:val="000000"/>
        </w:rPr>
        <w:t xml:space="preserve"> 293T cells using Lipofectamine 2000</w:t>
      </w:r>
      <w:r w:rsidRPr="00E635F2">
        <w:rPr>
          <w:color w:val="000000"/>
          <w:sz w:val="14"/>
          <w:szCs w:val="14"/>
          <w:vertAlign w:val="superscript"/>
        </w:rPr>
        <w:t xml:space="preserve">TM </w:t>
      </w:r>
      <w:r w:rsidRPr="00E635F2">
        <w:rPr>
          <w:color w:val="000000"/>
        </w:rPr>
        <w:t>(</w:t>
      </w:r>
      <w:r w:rsidR="002E093C" w:rsidRPr="00E635F2">
        <w:rPr>
          <w:color w:val="000000"/>
        </w:rPr>
        <w:t>Invitrogen™</w:t>
      </w:r>
      <w:r w:rsidR="00970900" w:rsidRPr="00E635F2">
        <w:rPr>
          <w:color w:val="000000"/>
        </w:rPr>
        <w:t>, Thermo Fisher Scientific</w:t>
      </w:r>
      <w:r w:rsidRPr="00E635F2">
        <w:rPr>
          <w:color w:val="000000"/>
        </w:rPr>
        <w:t xml:space="preserve">). </w:t>
      </w:r>
      <w:r w:rsidR="009C1566" w:rsidRPr="00E635F2">
        <w:rPr>
          <w:color w:val="000000"/>
        </w:rPr>
        <w:t>V</w:t>
      </w:r>
      <w:r w:rsidRPr="00E635F2">
        <w:rPr>
          <w:color w:val="000000"/>
        </w:rPr>
        <w:t xml:space="preserve">iral stocks </w:t>
      </w:r>
      <w:r w:rsidR="009C1566" w:rsidRPr="00E635F2">
        <w:rPr>
          <w:color w:val="000000"/>
        </w:rPr>
        <w:t>were then amplified</w:t>
      </w:r>
      <w:r w:rsidRPr="00E635F2">
        <w:rPr>
          <w:color w:val="000000"/>
        </w:rPr>
        <w:t xml:space="preserve"> in green monkey kidney Vero cells and quantified </w:t>
      </w:r>
      <w:r w:rsidR="009C1566" w:rsidRPr="00E635F2">
        <w:rPr>
          <w:color w:val="000000"/>
        </w:rPr>
        <w:t>via</w:t>
      </w:r>
      <w:r w:rsidRPr="00E635F2">
        <w:rPr>
          <w:color w:val="000000"/>
        </w:rPr>
        <w:t xml:space="preserve"> plaque titration assay on Vero cells</w:t>
      </w:r>
      <w:r w:rsidR="00970900" w:rsidRPr="00E635F2">
        <w:rPr>
          <w:color w:val="000000"/>
        </w:rPr>
        <w:t>, as previously reported</w:t>
      </w:r>
      <w:r w:rsidR="009B653C" w:rsidRPr="00E635F2">
        <w:rPr>
          <w:color w:val="000000"/>
        </w:rPr>
        <w:t>.</w:t>
      </w:r>
      <w:r w:rsidR="009B653C" w:rsidRPr="00E635F2">
        <w:rPr>
          <w:color w:val="000000"/>
        </w:rPr>
        <w:fldChar w:fldCharType="begin" w:fldLock="1"/>
      </w:r>
      <w:r w:rsidR="009B653C" w:rsidRPr="00E635F2">
        <w:rPr>
          <w:color w:val="000000"/>
        </w:rPr>
        <w:instrText>ADDIN CSL_CITATION {"citationItems":[{"id":"ITEM-1","itemData":{"DOI":"10.3390/biomedicines12071577","ISSN":"2227-9059","abstract":"Oncolytic viruses (OVs) are anti-cancer therapeutics combining the selective killing of cancer cells with the triggering of an anti-tumoral immune response. The latter effect can be improved by arming OVs with immunomodulatory factors. Due to the heterogeneity of cancer and the tumor microenvironment, it is anticipated that strategies based on the co-expression of multiple therapeutic molecules that interfere with different features of the target malignancy will be more effective than mono-therapies. Here, we show that (i) the simultaneous expression of different proteins in triple-negative breast cancer (TNBC) cells can be achieved through their infection with a combination of OVs based on herpes simplex virus type 1 (oHSV1), each encoding a single transgene. (ii) The level of expressed proteins is dependent on the number of infectious viral particles utilized to challenge tumor cells. (iii) All recombinant viruses exhibited comparable efficacy in the killing of TNBC cells in single and multiple infections and showed similar kinetics of replication. Overall, our results suggest that a strategy based on co-infection with a panel of oHSV1s may represent a promising combinatorial therapeutic approach for TNBC, as well as for other types of solid tumors, that merits further investigation in more advanced in vitro and in vivo models.","author":[{"dropping-particle":"","family":"Vitiello","given":"Adriana","non-dropping-particle":"","parse-names":false,"suffix":""},{"dropping-particle":"","family":"Reale","given":"Alberto","non-dropping-particle":"","parse-names":false,"suffix":""},{"dropping-particle":"","family":"Conciatori","given":"Valeria","non-dropping-particle":"","parse-names":false,"suffix":""},{"dropping-particle":"","family":"Vicco","given":"Anna","non-dropping-particle":"","parse-names":false,"suffix":""},{"dropping-particle":"","family":"Garzino-Demo","given":"Alfredo","non-dropping-particle":"","parse-names":false,"suffix":""},{"dropping-particle":"","family":"Palù","given":"Giorgio","non-dropping-particle":"","parse-names":false,"suffix":""},{"dropping-particle":"","family":"Parolin","given":"Cristina","non-dropping-particle":"","parse-names":false,"suffix":""},{"dropping-particle":"","family":"Einem","given":"Jens","non-dropping-particle":"von","parse-names":false,"suffix":""},{"dropping-particle":"","family":"Calistri","given":"Arianna","non-dropping-particle":"","parse-names":false,"suffix":""}],"container-title":"Biomedicines","id":"ITEM-1","issue":"7","issued":{"date-parts":[["2024"]]},"title":"Simultaneous Expression of Different Therapeutic Genes by Infection with Multiple Oncolytic HSV-1 Vectors","type":"article-journal","volume":"12"},"uris":["http://www.mendeley.com/documents/?uuid=96885679-00f7-4b37-92a5-5f99e2eb4947"]}],"mendeley":{"formattedCitation":"&lt;sup&gt;[40]&lt;/sup&gt;","plainTextFormattedCitation":"[40]"},"properties":{"noteIndex":0},"schema":"https://github.com/citation-style-language/schema/raw/master/csl-citation.json"}</w:instrText>
      </w:r>
      <w:r w:rsidR="009B653C" w:rsidRPr="00E635F2">
        <w:rPr>
          <w:color w:val="000000"/>
        </w:rPr>
        <w:fldChar w:fldCharType="separate"/>
      </w:r>
      <w:r w:rsidR="009B653C" w:rsidRPr="00E635F2">
        <w:rPr>
          <w:noProof/>
          <w:color w:val="000000"/>
          <w:vertAlign w:val="superscript"/>
        </w:rPr>
        <w:t>[40]</w:t>
      </w:r>
      <w:r w:rsidR="009B653C" w:rsidRPr="00E635F2">
        <w:rPr>
          <w:color w:val="000000"/>
        </w:rPr>
        <w:fldChar w:fldCharType="end"/>
      </w:r>
    </w:p>
    <w:p w14:paraId="00000064" w14:textId="4010BF8D" w:rsidR="00C314E0" w:rsidRPr="00E635F2" w:rsidRDefault="003D595D" w:rsidP="009B04DB">
      <w:pPr>
        <w:pBdr>
          <w:top w:val="nil"/>
          <w:left w:val="nil"/>
          <w:bottom w:val="nil"/>
          <w:right w:val="nil"/>
          <w:between w:val="nil"/>
        </w:pBdr>
        <w:spacing w:before="280" w:after="280" w:line="276" w:lineRule="auto"/>
        <w:jc w:val="both"/>
        <w:rPr>
          <w:color w:val="000000"/>
        </w:rPr>
      </w:pPr>
      <w:r w:rsidRPr="00E635F2">
        <w:rPr>
          <w:i/>
          <w:color w:val="000000"/>
        </w:rPr>
        <w:t>Static infection of U87</w:t>
      </w:r>
      <w:r w:rsidR="00773F70" w:rsidRPr="00E635F2">
        <w:rPr>
          <w:i/>
          <w:color w:val="000000"/>
        </w:rPr>
        <w:t>-MG</w:t>
      </w:r>
      <w:r w:rsidRPr="00E635F2">
        <w:rPr>
          <w:i/>
          <w:color w:val="000000"/>
        </w:rPr>
        <w:t xml:space="preserve"> spheroids with oHSV-1</w:t>
      </w:r>
      <w:r w:rsidR="002D561D" w:rsidRPr="00E635F2">
        <w:rPr>
          <w:i/>
          <w:color w:val="000000"/>
        </w:rPr>
        <w:t>-</w:t>
      </w:r>
      <w:r w:rsidRPr="00E635F2">
        <w:rPr>
          <w:i/>
          <w:color w:val="000000"/>
        </w:rPr>
        <w:t xml:space="preserve">mCherry transported by THP-1 cells: </w:t>
      </w:r>
      <w:r w:rsidRPr="00E635F2">
        <w:rPr>
          <w:color w:val="000000"/>
        </w:rPr>
        <w:t>After 7 days of maturation, U87</w:t>
      </w:r>
      <w:r w:rsidR="00773F70" w:rsidRPr="00E635F2">
        <w:rPr>
          <w:color w:val="000000"/>
        </w:rPr>
        <w:t>-MG</w:t>
      </w:r>
      <w:r w:rsidRPr="00E635F2">
        <w:rPr>
          <w:color w:val="000000"/>
        </w:rPr>
        <w:t xml:space="preserve"> spheroids </w:t>
      </w:r>
      <w:r w:rsidR="009B04DB" w:rsidRPr="00E635F2">
        <w:rPr>
          <w:color w:val="000000"/>
        </w:rPr>
        <w:t>were</w:t>
      </w:r>
      <w:r w:rsidRPr="00E635F2">
        <w:rPr>
          <w:color w:val="000000"/>
        </w:rPr>
        <w:t xml:space="preserve"> inoculated </w:t>
      </w:r>
      <w:r w:rsidR="009B04DB" w:rsidRPr="00E635F2">
        <w:rPr>
          <w:color w:val="000000"/>
        </w:rPr>
        <w:t>with the oncolytic herpes simplex virus type 1 (oHSV-1)</w:t>
      </w:r>
      <w:r w:rsidR="00BB3CC1" w:rsidRPr="00E635F2">
        <w:rPr>
          <w:color w:val="000000"/>
        </w:rPr>
        <w:t>-</w:t>
      </w:r>
      <w:r w:rsidR="009B04DB" w:rsidRPr="00E635F2">
        <w:rPr>
          <w:color w:val="000000"/>
        </w:rPr>
        <w:t xml:space="preserve">mCherry at a multiplicity of infection (MOI) of 3 </w:t>
      </w:r>
      <w:r w:rsidR="00970900" w:rsidRPr="00E635F2">
        <w:rPr>
          <w:color w:val="000000"/>
        </w:rPr>
        <w:t>plaque forming units (</w:t>
      </w:r>
      <w:r w:rsidR="009B04DB" w:rsidRPr="00E635F2">
        <w:rPr>
          <w:color w:val="000000"/>
        </w:rPr>
        <w:t>PFU</w:t>
      </w:r>
      <w:r w:rsidR="00970900" w:rsidRPr="00E635F2">
        <w:rPr>
          <w:color w:val="000000"/>
        </w:rPr>
        <w:t>)</w:t>
      </w:r>
      <w:r w:rsidR="009B04DB" w:rsidRPr="00E635F2">
        <w:rPr>
          <w:color w:val="000000"/>
        </w:rPr>
        <w:t>/cell. THP-1 cells (ATCC TIB-202™) were cultured in Roswell Park Memorial Institute (RPMI</w:t>
      </w:r>
      <w:r w:rsidR="002E093C" w:rsidRPr="00E635F2">
        <w:rPr>
          <w:color w:val="000000"/>
        </w:rPr>
        <w:t>,</w:t>
      </w:r>
      <w:r w:rsidR="009B04DB" w:rsidRPr="00E635F2">
        <w:rPr>
          <w:color w:val="000000"/>
        </w:rPr>
        <w:t xml:space="preserve"> Gibco) medium supplemented with 10% FBS (Thermo Fisher</w:t>
      </w:r>
      <w:r w:rsidR="00970900" w:rsidRPr="00E635F2">
        <w:rPr>
          <w:color w:val="000000"/>
        </w:rPr>
        <w:t xml:space="preserve"> Scientific</w:t>
      </w:r>
      <w:r w:rsidR="009B04DB" w:rsidRPr="00E635F2">
        <w:rPr>
          <w:color w:val="000000"/>
        </w:rPr>
        <w:t xml:space="preserve">) and 1% P/S, under standard cell culture conditions. Prior to infection, THP-1 cells </w:t>
      </w:r>
      <w:r w:rsidR="00897113" w:rsidRPr="00E635F2">
        <w:rPr>
          <w:color w:val="000000"/>
        </w:rPr>
        <w:t>were</w:t>
      </w:r>
      <w:r w:rsidR="009B04DB" w:rsidRPr="00E635F2">
        <w:rPr>
          <w:color w:val="000000"/>
        </w:rPr>
        <w:t xml:space="preserve"> labeled with </w:t>
      </w:r>
      <w:r w:rsidR="009D48CE" w:rsidRPr="00E635F2">
        <w:rPr>
          <w:color w:val="000000"/>
        </w:rPr>
        <w:t xml:space="preserve">CellTracker™ Green </w:t>
      </w:r>
      <w:r w:rsidR="009B04DB" w:rsidRPr="00E635F2">
        <w:rPr>
          <w:color w:val="000000"/>
        </w:rPr>
        <w:t>(C2925, Invitrogen™</w:t>
      </w:r>
      <w:r w:rsidR="00970900" w:rsidRPr="00E635F2">
        <w:rPr>
          <w:color w:val="000000"/>
        </w:rPr>
        <w:t>, Thermo Fisher Scientific</w:t>
      </w:r>
      <w:r w:rsidR="009B04DB" w:rsidRPr="00E635F2">
        <w:rPr>
          <w:color w:val="000000"/>
        </w:rPr>
        <w:t xml:space="preserve">) by incubation in serum-free RPMI containing the dye (1 </w:t>
      </w:r>
      <w:proofErr w:type="spellStart"/>
      <w:r w:rsidR="009B04DB" w:rsidRPr="00E635F2">
        <w:rPr>
          <w:color w:val="000000"/>
        </w:rPr>
        <w:lastRenderedPageBreak/>
        <w:t>μL</w:t>
      </w:r>
      <w:proofErr w:type="spellEnd"/>
      <w:r w:rsidR="009B04DB" w:rsidRPr="00E635F2">
        <w:rPr>
          <w:color w:val="000000"/>
        </w:rPr>
        <w:t xml:space="preserve">/mL) for 20 minutes at 37°C. Following labeling, cells </w:t>
      </w:r>
      <w:r w:rsidR="00897113" w:rsidRPr="00E635F2">
        <w:rPr>
          <w:color w:val="000000"/>
        </w:rPr>
        <w:t>were</w:t>
      </w:r>
      <w:r w:rsidR="009B04DB" w:rsidRPr="00E635F2">
        <w:rPr>
          <w:color w:val="000000"/>
        </w:rPr>
        <w:t xml:space="preserve"> centrifuged </w:t>
      </w:r>
      <w:r w:rsidR="00283861">
        <w:rPr>
          <w:color w:val="000000"/>
        </w:rPr>
        <w:t>(</w:t>
      </w:r>
      <w:r w:rsidR="009B04DB" w:rsidRPr="00E635F2">
        <w:rPr>
          <w:color w:val="000000"/>
        </w:rPr>
        <w:t xml:space="preserve">at </w:t>
      </w:r>
      <w:r w:rsidR="00DF0113" w:rsidRPr="00E635F2">
        <w:rPr>
          <w:color w:val="000000"/>
        </w:rPr>
        <w:t>300 g,</w:t>
      </w:r>
      <w:r w:rsidR="009B04DB" w:rsidRPr="00E635F2">
        <w:rPr>
          <w:color w:val="000000"/>
        </w:rPr>
        <w:t xml:space="preserve"> 5 minutes</w:t>
      </w:r>
      <w:r w:rsidR="00DF0113" w:rsidRPr="00E635F2">
        <w:rPr>
          <w:color w:val="000000"/>
        </w:rPr>
        <w:t>)</w:t>
      </w:r>
      <w:r w:rsidR="009B04DB" w:rsidRPr="00E635F2">
        <w:rPr>
          <w:color w:val="000000"/>
        </w:rPr>
        <w:t xml:space="preserve">, washed twice with PBS, and resuspended in serum-free RPMI. Cells </w:t>
      </w:r>
      <w:r w:rsidR="00897113" w:rsidRPr="00E635F2">
        <w:rPr>
          <w:color w:val="000000"/>
        </w:rPr>
        <w:t>were</w:t>
      </w:r>
      <w:r w:rsidR="009B04DB" w:rsidRPr="00E635F2">
        <w:rPr>
          <w:color w:val="000000"/>
        </w:rPr>
        <w:t xml:space="preserve"> then infected with oHSV-1</w:t>
      </w:r>
      <w:r w:rsidR="002D561D" w:rsidRPr="00E635F2">
        <w:rPr>
          <w:color w:val="000000"/>
        </w:rPr>
        <w:t>-</w:t>
      </w:r>
      <w:r w:rsidR="009B04DB" w:rsidRPr="00E635F2">
        <w:rPr>
          <w:color w:val="000000"/>
        </w:rPr>
        <w:t xml:space="preserve">mCherry by incubation for 60 minutes at 37°C. Post-infection, cells </w:t>
      </w:r>
      <w:r w:rsidR="00897113" w:rsidRPr="00E635F2">
        <w:rPr>
          <w:color w:val="000000"/>
        </w:rPr>
        <w:t>were pelleted,</w:t>
      </w:r>
      <w:r w:rsidR="009B04DB" w:rsidRPr="00E635F2">
        <w:rPr>
          <w:color w:val="000000"/>
        </w:rPr>
        <w:t xml:space="preserve"> washed three times with PBS</w:t>
      </w:r>
      <w:r w:rsidR="00BB3CC1" w:rsidRPr="00E635F2">
        <w:rPr>
          <w:color w:val="000000"/>
        </w:rPr>
        <w:t xml:space="preserve"> to remove extracellular virions</w:t>
      </w:r>
      <w:r w:rsidR="009B04DB" w:rsidRPr="00E635F2">
        <w:rPr>
          <w:color w:val="000000"/>
        </w:rPr>
        <w:t xml:space="preserve"> and resuspended in DMEM supplemented with 10% FBS.</w:t>
      </w:r>
      <w:r w:rsidR="00897113" w:rsidRPr="00E635F2">
        <w:rPr>
          <w:color w:val="000000"/>
        </w:rPr>
        <w:t xml:space="preserve"> </w:t>
      </w:r>
      <w:r w:rsidRPr="00E635F2">
        <w:rPr>
          <w:color w:val="000000"/>
        </w:rPr>
        <w:t>Approximately 500</w:t>
      </w:r>
      <w:r w:rsidR="00897113" w:rsidRPr="00E635F2">
        <w:rPr>
          <w:color w:val="000000"/>
        </w:rPr>
        <w:t xml:space="preserve"> infected</w:t>
      </w:r>
      <w:r w:rsidRPr="00E635F2">
        <w:rPr>
          <w:color w:val="000000"/>
        </w:rPr>
        <w:t xml:space="preserve"> THP-1 cells </w:t>
      </w:r>
      <w:r w:rsidR="00897113" w:rsidRPr="00E635F2">
        <w:rPr>
          <w:color w:val="000000"/>
        </w:rPr>
        <w:t>were</w:t>
      </w:r>
      <w:r w:rsidRPr="00E635F2">
        <w:rPr>
          <w:color w:val="000000"/>
        </w:rPr>
        <w:t xml:space="preserve"> added to each spheroid-containing well. </w:t>
      </w:r>
      <w:r w:rsidR="00897113" w:rsidRPr="00E635F2">
        <w:rPr>
          <w:color w:val="000000"/>
        </w:rPr>
        <w:t xml:space="preserve">Viral spread </w:t>
      </w:r>
      <w:r w:rsidR="00970900" w:rsidRPr="00E635F2">
        <w:rPr>
          <w:color w:val="000000"/>
        </w:rPr>
        <w:t>wa</w:t>
      </w:r>
      <w:r w:rsidR="00897113" w:rsidRPr="00E635F2">
        <w:rPr>
          <w:color w:val="000000"/>
        </w:rPr>
        <w:t xml:space="preserve">s monitored over time using </w:t>
      </w:r>
      <w:r w:rsidRPr="00E635F2">
        <w:rPr>
          <w:color w:val="000000"/>
        </w:rPr>
        <w:t>confocal microscop</w:t>
      </w:r>
      <w:r w:rsidR="00897113" w:rsidRPr="00E635F2">
        <w:rPr>
          <w:color w:val="000000"/>
        </w:rPr>
        <w:t>y</w:t>
      </w:r>
      <w:r w:rsidRPr="00E635F2">
        <w:rPr>
          <w:color w:val="000000"/>
        </w:rPr>
        <w:t xml:space="preserve"> by </w:t>
      </w:r>
      <w:r w:rsidR="00897113" w:rsidRPr="00E635F2">
        <w:rPr>
          <w:color w:val="000000"/>
        </w:rPr>
        <w:t>tracking</w:t>
      </w:r>
      <w:r w:rsidRPr="00E635F2">
        <w:rPr>
          <w:color w:val="000000"/>
        </w:rPr>
        <w:t xml:space="preserve"> mCherry </w:t>
      </w:r>
      <w:r w:rsidR="00897113" w:rsidRPr="00E635F2">
        <w:rPr>
          <w:color w:val="000000"/>
        </w:rPr>
        <w:t>fluorescence</w:t>
      </w:r>
      <w:r w:rsidRPr="00E635F2">
        <w:rPr>
          <w:color w:val="000000"/>
        </w:rPr>
        <w:t xml:space="preserve">. </w:t>
      </w:r>
      <w:r w:rsidR="00897113" w:rsidRPr="00E635F2">
        <w:rPr>
          <w:color w:val="000000"/>
        </w:rPr>
        <w:t>In parallel</w:t>
      </w:r>
      <w:r w:rsidRPr="00E635F2">
        <w:rPr>
          <w:color w:val="000000"/>
        </w:rPr>
        <w:t xml:space="preserve">, </w:t>
      </w:r>
      <w:r w:rsidR="00897113" w:rsidRPr="00E635F2">
        <w:rPr>
          <w:color w:val="000000"/>
        </w:rPr>
        <w:t>the metabolic activity of the spheroids was assessed via an MTT assay</w:t>
      </w:r>
      <w:r w:rsidR="00303F1F" w:rsidRPr="00E635F2">
        <w:rPr>
          <w:color w:val="000000"/>
        </w:rPr>
        <w:t xml:space="preserve"> (</w:t>
      </w:r>
      <w:r w:rsidR="00DF0113" w:rsidRPr="00E635F2">
        <w:rPr>
          <w:color w:val="000000"/>
        </w:rPr>
        <w:t>Sigma-Aldrich</w:t>
      </w:r>
      <w:r w:rsidR="00970900" w:rsidRPr="00E635F2">
        <w:rPr>
          <w:color w:val="000000"/>
        </w:rPr>
        <w:t>, Merck</w:t>
      </w:r>
      <w:r w:rsidR="00303F1F" w:rsidRPr="00E635F2">
        <w:rPr>
          <w:color w:val="000000"/>
        </w:rPr>
        <w:t>)</w:t>
      </w:r>
      <w:r w:rsidR="00897113" w:rsidRPr="00E635F2">
        <w:rPr>
          <w:color w:val="000000"/>
        </w:rPr>
        <w:t>, serving as a proxy for cell viability and proliferation</w:t>
      </w:r>
      <w:r w:rsidRPr="00E635F2">
        <w:rPr>
          <w:color w:val="000000"/>
        </w:rPr>
        <w:t xml:space="preserve">. </w:t>
      </w:r>
      <w:r w:rsidR="00897113" w:rsidRPr="00E635F2">
        <w:rPr>
          <w:color w:val="000000"/>
        </w:rPr>
        <w:t>Briefly</w:t>
      </w:r>
      <w:r w:rsidRPr="00E635F2">
        <w:rPr>
          <w:color w:val="000000"/>
        </w:rPr>
        <w:t>, at selected time point</w:t>
      </w:r>
      <w:r w:rsidR="00897113" w:rsidRPr="00E635F2">
        <w:rPr>
          <w:color w:val="000000"/>
        </w:rPr>
        <w:t>s</w:t>
      </w:r>
      <w:r w:rsidRPr="00E635F2">
        <w:rPr>
          <w:color w:val="000000"/>
        </w:rPr>
        <w:t xml:space="preserve">, </w:t>
      </w:r>
      <w:r w:rsidR="00897113" w:rsidRPr="00E635F2">
        <w:rPr>
          <w:color w:val="000000"/>
        </w:rPr>
        <w:t>individual</w:t>
      </w:r>
      <w:r w:rsidRPr="00E635F2">
        <w:rPr>
          <w:color w:val="000000"/>
        </w:rPr>
        <w:t xml:space="preserve"> spheroids </w:t>
      </w:r>
      <w:r w:rsidR="00897113" w:rsidRPr="00E635F2">
        <w:rPr>
          <w:color w:val="000000"/>
        </w:rPr>
        <w:t>were</w:t>
      </w:r>
      <w:r w:rsidRPr="00E635F2">
        <w:rPr>
          <w:color w:val="000000"/>
        </w:rPr>
        <w:t xml:space="preserve"> transferred to </w:t>
      </w:r>
      <w:r w:rsidR="00897113" w:rsidRPr="00E635F2">
        <w:rPr>
          <w:color w:val="000000"/>
        </w:rPr>
        <w:t xml:space="preserve">flat bottom </w:t>
      </w:r>
      <w:r w:rsidRPr="00E635F2">
        <w:rPr>
          <w:color w:val="000000"/>
        </w:rPr>
        <w:t>96-well plate</w:t>
      </w:r>
      <w:r w:rsidR="00897113" w:rsidRPr="00E635F2">
        <w:rPr>
          <w:color w:val="000000"/>
        </w:rPr>
        <w:t>s</w:t>
      </w:r>
      <w:r w:rsidRPr="00E635F2">
        <w:rPr>
          <w:color w:val="000000"/>
        </w:rPr>
        <w:t xml:space="preserve"> </w:t>
      </w:r>
      <w:r w:rsidR="00897113" w:rsidRPr="00E635F2">
        <w:rPr>
          <w:color w:val="000000"/>
        </w:rPr>
        <w:t>containing</w:t>
      </w:r>
      <w:r w:rsidRPr="00E635F2">
        <w:rPr>
          <w:color w:val="000000"/>
        </w:rPr>
        <w:t xml:space="preserve"> 100 µL/well of fresh medium and 50 </w:t>
      </w:r>
      <w:proofErr w:type="spellStart"/>
      <w:r w:rsidRPr="00E635F2">
        <w:rPr>
          <w:color w:val="000000"/>
        </w:rPr>
        <w:t>μL</w:t>
      </w:r>
      <w:proofErr w:type="spellEnd"/>
      <w:r w:rsidRPr="00E635F2">
        <w:rPr>
          <w:color w:val="000000"/>
        </w:rPr>
        <w:t xml:space="preserve">/well of MTT solution (5 mg/mL PBS). After </w:t>
      </w:r>
      <w:r w:rsidR="00897113" w:rsidRPr="00E635F2">
        <w:rPr>
          <w:color w:val="000000"/>
        </w:rPr>
        <w:t xml:space="preserve">a </w:t>
      </w:r>
      <w:r w:rsidRPr="00E635F2">
        <w:rPr>
          <w:color w:val="000000"/>
        </w:rPr>
        <w:t>4</w:t>
      </w:r>
      <w:r w:rsidR="00897113" w:rsidRPr="00E635F2">
        <w:rPr>
          <w:color w:val="000000"/>
        </w:rPr>
        <w:t>-</w:t>
      </w:r>
      <w:r w:rsidRPr="00E635F2">
        <w:rPr>
          <w:color w:val="000000"/>
        </w:rPr>
        <w:t>h</w:t>
      </w:r>
      <w:r w:rsidR="00897113" w:rsidRPr="00E635F2">
        <w:rPr>
          <w:color w:val="000000"/>
        </w:rPr>
        <w:t>our</w:t>
      </w:r>
      <w:r w:rsidRPr="00E635F2">
        <w:rPr>
          <w:color w:val="000000"/>
        </w:rPr>
        <w:t xml:space="preserve"> incubation at 37°C </w:t>
      </w:r>
      <w:r w:rsidR="00897113" w:rsidRPr="00E635F2">
        <w:rPr>
          <w:color w:val="000000"/>
        </w:rPr>
        <w:t>in the dark</w:t>
      </w:r>
      <w:r w:rsidRPr="00E635F2">
        <w:rPr>
          <w:color w:val="000000"/>
        </w:rPr>
        <w:t xml:space="preserve">, the resulting formazan crystals </w:t>
      </w:r>
      <w:r w:rsidR="00897113" w:rsidRPr="00E635F2">
        <w:rPr>
          <w:color w:val="000000"/>
        </w:rPr>
        <w:t>were</w:t>
      </w:r>
      <w:r w:rsidRPr="00E635F2">
        <w:rPr>
          <w:color w:val="000000"/>
        </w:rPr>
        <w:t xml:space="preserve"> solubilized </w:t>
      </w:r>
      <w:r w:rsidR="00897113" w:rsidRPr="00E635F2">
        <w:rPr>
          <w:color w:val="000000"/>
        </w:rPr>
        <w:t xml:space="preserve">with </w:t>
      </w:r>
      <w:r w:rsidRPr="00E635F2">
        <w:rPr>
          <w:color w:val="000000"/>
        </w:rPr>
        <w:t xml:space="preserve">50 </w:t>
      </w:r>
      <w:proofErr w:type="spellStart"/>
      <w:r w:rsidRPr="00E635F2">
        <w:rPr>
          <w:color w:val="000000"/>
        </w:rPr>
        <w:t>μL</w:t>
      </w:r>
      <w:proofErr w:type="spellEnd"/>
      <w:r w:rsidRPr="00E635F2">
        <w:rPr>
          <w:color w:val="000000"/>
        </w:rPr>
        <w:t>/well</w:t>
      </w:r>
      <w:r w:rsidR="00897113" w:rsidRPr="00E635F2">
        <w:rPr>
          <w:color w:val="000000"/>
        </w:rPr>
        <w:t xml:space="preserve"> of DMSO</w:t>
      </w:r>
      <w:r w:rsidRPr="00E635F2">
        <w:rPr>
          <w:color w:val="000000"/>
        </w:rPr>
        <w:t xml:space="preserve">. </w:t>
      </w:r>
      <w:r w:rsidR="00897113" w:rsidRPr="00E635F2">
        <w:rPr>
          <w:color w:val="000000"/>
        </w:rPr>
        <w:t>A</w:t>
      </w:r>
      <w:r w:rsidRPr="00E635F2">
        <w:rPr>
          <w:color w:val="000000"/>
        </w:rPr>
        <w:t xml:space="preserve">bsorbance </w:t>
      </w:r>
      <w:r w:rsidR="00897113" w:rsidRPr="00E635F2">
        <w:rPr>
          <w:color w:val="000000"/>
        </w:rPr>
        <w:t>was</w:t>
      </w:r>
      <w:r w:rsidRPr="00E635F2">
        <w:rPr>
          <w:color w:val="000000"/>
        </w:rPr>
        <w:t xml:space="preserve"> measured at 560 nm using</w:t>
      </w:r>
      <w:r w:rsidR="00897113" w:rsidRPr="00E635F2">
        <w:rPr>
          <w:color w:val="000000"/>
        </w:rPr>
        <w:t xml:space="preserve"> a</w:t>
      </w:r>
      <w:r w:rsidRPr="00E635F2">
        <w:rPr>
          <w:color w:val="000000"/>
        </w:rPr>
        <w:t xml:space="preserve"> Spark</w:t>
      </w:r>
      <w:r w:rsidRPr="00E635F2">
        <w:rPr>
          <w:color w:val="000000"/>
          <w:vertAlign w:val="superscript"/>
        </w:rPr>
        <w:t>®</w:t>
      </w:r>
      <w:r w:rsidRPr="00E635F2">
        <w:rPr>
          <w:color w:val="000000"/>
        </w:rPr>
        <w:t xml:space="preserve"> Multimode Microplate Reader </w:t>
      </w:r>
      <w:r w:rsidR="00897113" w:rsidRPr="00E635F2">
        <w:rPr>
          <w:color w:val="000000"/>
        </w:rPr>
        <w:t>(</w:t>
      </w:r>
      <w:r w:rsidRPr="00E635F2">
        <w:rPr>
          <w:color w:val="000000"/>
        </w:rPr>
        <w:t>Tecan</w:t>
      </w:r>
      <w:r w:rsidR="00970900" w:rsidRPr="00E635F2">
        <w:rPr>
          <w:color w:val="000000"/>
        </w:rPr>
        <w:t xml:space="preserve"> Group Ltd., </w:t>
      </w:r>
      <w:proofErr w:type="spellStart"/>
      <w:r w:rsidR="00970900" w:rsidRPr="00E635F2">
        <w:rPr>
          <w:color w:val="000000"/>
        </w:rPr>
        <w:t>Männedorf</w:t>
      </w:r>
      <w:proofErr w:type="spellEnd"/>
      <w:r w:rsidR="00970900" w:rsidRPr="00E635F2">
        <w:rPr>
          <w:color w:val="000000"/>
        </w:rPr>
        <w:t>, Switzerland</w:t>
      </w:r>
      <w:r w:rsidRPr="00E635F2">
        <w:rPr>
          <w:color w:val="000000"/>
        </w:rPr>
        <w:t>)</w:t>
      </w:r>
      <w:r w:rsidR="00897113" w:rsidRPr="00E635F2">
        <w:rPr>
          <w:color w:val="000000"/>
        </w:rPr>
        <w:t xml:space="preserve">, and </w:t>
      </w:r>
      <w:r w:rsidRPr="00E635F2">
        <w:rPr>
          <w:color w:val="000000"/>
        </w:rPr>
        <w:t xml:space="preserve">viability </w:t>
      </w:r>
      <w:r w:rsidR="00897113" w:rsidRPr="00E635F2">
        <w:rPr>
          <w:color w:val="000000"/>
        </w:rPr>
        <w:t>was</w:t>
      </w:r>
      <w:r w:rsidRPr="00E635F2">
        <w:rPr>
          <w:color w:val="000000"/>
        </w:rPr>
        <w:t xml:space="preserve"> relative to </w:t>
      </w:r>
      <w:r w:rsidR="00897113" w:rsidRPr="00E635F2">
        <w:rPr>
          <w:color w:val="000000"/>
        </w:rPr>
        <w:t>untreated</w:t>
      </w:r>
      <w:r w:rsidRPr="00E635F2">
        <w:rPr>
          <w:color w:val="000000"/>
        </w:rPr>
        <w:t xml:space="preserve"> control</w:t>
      </w:r>
      <w:r w:rsidR="00897113" w:rsidRPr="00E635F2">
        <w:rPr>
          <w:color w:val="000000"/>
        </w:rPr>
        <w:t xml:space="preserve"> spheroids</w:t>
      </w:r>
      <w:r w:rsidRPr="00E635F2">
        <w:rPr>
          <w:color w:val="000000"/>
        </w:rPr>
        <w:t xml:space="preserve">. </w:t>
      </w:r>
    </w:p>
    <w:p w14:paraId="00000065" w14:textId="2AC45527" w:rsidR="00C314E0" w:rsidRPr="00E635F2" w:rsidRDefault="003D595D">
      <w:pPr>
        <w:pBdr>
          <w:top w:val="nil"/>
          <w:left w:val="nil"/>
          <w:bottom w:val="nil"/>
          <w:right w:val="nil"/>
          <w:between w:val="nil"/>
        </w:pBdr>
        <w:spacing w:before="280" w:after="280" w:line="276" w:lineRule="auto"/>
        <w:jc w:val="both"/>
        <w:rPr>
          <w:color w:val="000000"/>
        </w:rPr>
      </w:pPr>
      <w:r w:rsidRPr="00E635F2">
        <w:rPr>
          <w:i/>
          <w:color w:val="000000"/>
        </w:rPr>
        <w:t>Perfusion of THP-1 cell</w:t>
      </w:r>
      <w:r w:rsidRPr="00E635F2">
        <w:rPr>
          <w:color w:val="000000"/>
        </w:rPr>
        <w:t>s</w:t>
      </w:r>
      <w:r w:rsidRPr="00E635F2">
        <w:rPr>
          <w:i/>
          <w:color w:val="000000"/>
        </w:rPr>
        <w:t xml:space="preserve"> infected with oHSV-1</w:t>
      </w:r>
      <w:r w:rsidR="00BB3CC1" w:rsidRPr="00E635F2">
        <w:rPr>
          <w:i/>
          <w:color w:val="000000"/>
        </w:rPr>
        <w:t>-mCherry</w:t>
      </w:r>
      <w:r w:rsidRPr="00E635F2">
        <w:rPr>
          <w:i/>
          <w:color w:val="000000"/>
        </w:rPr>
        <w:t xml:space="preserve"> in the BBB-on-chip: </w:t>
      </w:r>
      <w:r w:rsidR="00AD1F40" w:rsidRPr="00E635F2">
        <w:rPr>
          <w:color w:val="000000"/>
        </w:rPr>
        <w:t>Upon full maturation of the</w:t>
      </w:r>
      <w:r w:rsidRPr="00E635F2">
        <w:rPr>
          <w:color w:val="000000"/>
        </w:rPr>
        <w:t xml:space="preserve"> BBB structure </w:t>
      </w:r>
      <w:r w:rsidR="00AD1F40" w:rsidRPr="00E635F2">
        <w:rPr>
          <w:color w:val="000000"/>
        </w:rPr>
        <w:t>within</w:t>
      </w:r>
      <w:r w:rsidR="00DF0113" w:rsidRPr="00E635F2">
        <w:rPr>
          <w:color w:val="000000"/>
        </w:rPr>
        <w:t xml:space="preserve"> the</w:t>
      </w:r>
      <w:r w:rsidRPr="00E635F2">
        <w:rPr>
          <w:color w:val="000000"/>
        </w:rPr>
        <w:t xml:space="preserve"> microfluidic devices, </w:t>
      </w:r>
      <w:r w:rsidR="00970900" w:rsidRPr="00E635F2">
        <w:rPr>
          <w:color w:val="000000"/>
        </w:rPr>
        <w:t xml:space="preserve">at </w:t>
      </w:r>
      <w:r w:rsidR="00AD1F40" w:rsidRPr="00E635F2">
        <w:rPr>
          <w:color w:val="000000"/>
        </w:rPr>
        <w:t>day</w:t>
      </w:r>
      <w:r w:rsidR="00970900" w:rsidRPr="00E635F2">
        <w:rPr>
          <w:color w:val="000000"/>
        </w:rPr>
        <w:t xml:space="preserve"> </w:t>
      </w:r>
      <w:r w:rsidR="00AD1F40" w:rsidRPr="00E635F2">
        <w:rPr>
          <w:color w:val="000000"/>
        </w:rPr>
        <w:t xml:space="preserve">7 </w:t>
      </w:r>
      <w:r w:rsidRPr="00E635F2">
        <w:rPr>
          <w:color w:val="000000"/>
        </w:rPr>
        <w:t>U87</w:t>
      </w:r>
      <w:r w:rsidR="00222A2E" w:rsidRPr="00E635F2">
        <w:rPr>
          <w:color w:val="000000"/>
        </w:rPr>
        <w:t>-MG</w:t>
      </w:r>
      <w:r w:rsidRPr="00E635F2">
        <w:rPr>
          <w:color w:val="000000"/>
        </w:rPr>
        <w:t xml:space="preserve"> spheroids </w:t>
      </w:r>
      <w:r w:rsidR="00AD1F40" w:rsidRPr="00E635F2">
        <w:rPr>
          <w:color w:val="000000"/>
        </w:rPr>
        <w:t>were</w:t>
      </w:r>
      <w:r w:rsidRPr="00E635F2">
        <w:rPr>
          <w:color w:val="000000"/>
        </w:rPr>
        <w:t xml:space="preserve"> transferred from ULA plate</w:t>
      </w:r>
      <w:r w:rsidR="00AD1F40" w:rsidRPr="00E635F2">
        <w:rPr>
          <w:color w:val="000000"/>
        </w:rPr>
        <w:t>s</w:t>
      </w:r>
      <w:r w:rsidRPr="00E635F2">
        <w:rPr>
          <w:color w:val="000000"/>
        </w:rPr>
        <w:t xml:space="preserve"> </w:t>
      </w:r>
      <w:r w:rsidR="00AD1F40" w:rsidRPr="00E635F2">
        <w:rPr>
          <w:color w:val="000000"/>
        </w:rPr>
        <w:t>into</w:t>
      </w:r>
      <w:r w:rsidR="00BB3CC1" w:rsidRPr="00E635F2">
        <w:rPr>
          <w:color w:val="000000"/>
        </w:rPr>
        <w:t xml:space="preserve"> the</w:t>
      </w:r>
      <w:r w:rsidRPr="00E635F2">
        <w:rPr>
          <w:color w:val="000000"/>
        </w:rPr>
        <w:t xml:space="preserve"> microwells </w:t>
      </w:r>
      <w:r w:rsidR="00AD1F40" w:rsidRPr="00E635F2">
        <w:rPr>
          <w:color w:val="000000"/>
        </w:rPr>
        <w:t>of</w:t>
      </w:r>
      <w:r w:rsidRPr="00E635F2">
        <w:rPr>
          <w:color w:val="000000"/>
        </w:rPr>
        <w:t xml:space="preserve"> the BBB-on-chip (one spheroid per microwell, three per device). THP-1 cells </w:t>
      </w:r>
      <w:r w:rsidR="00AD1F40" w:rsidRPr="00E635F2">
        <w:rPr>
          <w:color w:val="000000"/>
        </w:rPr>
        <w:t>were</w:t>
      </w:r>
      <w:r w:rsidRPr="00E635F2">
        <w:rPr>
          <w:color w:val="000000"/>
        </w:rPr>
        <w:t xml:space="preserve"> </w:t>
      </w:r>
      <w:r w:rsidR="00AD1F40" w:rsidRPr="00E635F2">
        <w:rPr>
          <w:color w:val="000000"/>
        </w:rPr>
        <w:t>labeled</w:t>
      </w:r>
      <w:r w:rsidRPr="00E635F2">
        <w:rPr>
          <w:color w:val="000000"/>
        </w:rPr>
        <w:t xml:space="preserve"> with </w:t>
      </w:r>
      <w:r w:rsidR="00DF0113" w:rsidRPr="00E635F2">
        <w:rPr>
          <w:color w:val="000000"/>
        </w:rPr>
        <w:t xml:space="preserve">CellTracker™ Green </w:t>
      </w:r>
      <w:r w:rsidRPr="00E635F2">
        <w:rPr>
          <w:color w:val="000000"/>
        </w:rPr>
        <w:t>and infected with oHSV-1</w:t>
      </w:r>
      <w:r w:rsidR="002D561D" w:rsidRPr="00E635F2">
        <w:rPr>
          <w:color w:val="000000"/>
        </w:rPr>
        <w:t>-</w:t>
      </w:r>
      <w:r w:rsidRPr="00E635F2">
        <w:rPr>
          <w:color w:val="000000"/>
        </w:rPr>
        <w:t xml:space="preserve">mCherry at a MOI of 3 PFU/cell, </w:t>
      </w:r>
      <w:r w:rsidR="00AD1F40" w:rsidRPr="00E635F2">
        <w:rPr>
          <w:color w:val="000000"/>
        </w:rPr>
        <w:t>as previously</w:t>
      </w:r>
      <w:r w:rsidRPr="00E635F2">
        <w:rPr>
          <w:color w:val="000000"/>
        </w:rPr>
        <w:t xml:space="preserve"> described. </w:t>
      </w:r>
      <w:r w:rsidR="00AD1F40" w:rsidRPr="00E635F2">
        <w:rPr>
          <w:color w:val="000000"/>
        </w:rPr>
        <w:t xml:space="preserve">After </w:t>
      </w:r>
      <w:r w:rsidRPr="00E635F2">
        <w:rPr>
          <w:color w:val="000000"/>
        </w:rPr>
        <w:t xml:space="preserve">infection, cells </w:t>
      </w:r>
      <w:r w:rsidR="00AD1F40" w:rsidRPr="00E635F2">
        <w:rPr>
          <w:color w:val="000000"/>
        </w:rPr>
        <w:t>were</w:t>
      </w:r>
      <w:r w:rsidRPr="00E635F2">
        <w:rPr>
          <w:color w:val="000000"/>
        </w:rPr>
        <w:t xml:space="preserve"> centrifuged (</w:t>
      </w:r>
      <w:r w:rsidR="00222A2E" w:rsidRPr="00E635F2">
        <w:rPr>
          <w:color w:val="000000"/>
        </w:rPr>
        <w:t>10</w:t>
      </w:r>
      <w:r w:rsidR="002E093C" w:rsidRPr="00E635F2">
        <w:rPr>
          <w:color w:val="000000"/>
        </w:rPr>
        <w:t>00 g</w:t>
      </w:r>
      <w:r w:rsidR="00AD1F40" w:rsidRPr="00E635F2">
        <w:rPr>
          <w:color w:val="000000"/>
        </w:rPr>
        <w:t>,</w:t>
      </w:r>
      <w:r w:rsidRPr="00E635F2">
        <w:rPr>
          <w:color w:val="000000"/>
        </w:rPr>
        <w:t xml:space="preserve"> 5 minutes), washed </w:t>
      </w:r>
      <w:r w:rsidR="00365D7D" w:rsidRPr="00E635F2">
        <w:rPr>
          <w:color w:val="000000"/>
        </w:rPr>
        <w:t xml:space="preserve">three times </w:t>
      </w:r>
      <w:r w:rsidRPr="00E635F2">
        <w:rPr>
          <w:color w:val="000000"/>
        </w:rPr>
        <w:t xml:space="preserve">with PBS, and resuspended in 2 mL of DMEM supplemented with 10% FBS, </w:t>
      </w:r>
      <w:r w:rsidR="00AD1F40" w:rsidRPr="00E635F2">
        <w:rPr>
          <w:color w:val="000000"/>
        </w:rPr>
        <w:t>yielding</w:t>
      </w:r>
      <w:r w:rsidRPr="00E635F2">
        <w:rPr>
          <w:color w:val="000000"/>
        </w:rPr>
        <w:t xml:space="preserve"> a final concentration of 2.5</w:t>
      </w:r>
      <w:r w:rsidR="008C4A23">
        <w:rPr>
          <w:color w:val="000000" w:themeColor="text1"/>
        </w:rPr>
        <w:t>x</w:t>
      </w:r>
      <w:r w:rsidRPr="00E635F2">
        <w:rPr>
          <w:color w:val="000000"/>
        </w:rPr>
        <w:t xml:space="preserve">10⁵ cells per </w:t>
      </w:r>
      <w:proofErr w:type="spellStart"/>
      <w:r w:rsidRPr="00E635F2">
        <w:rPr>
          <w:color w:val="000000"/>
        </w:rPr>
        <w:t>mL.</w:t>
      </w:r>
      <w:proofErr w:type="spellEnd"/>
      <w:r w:rsidRPr="00E635F2">
        <w:rPr>
          <w:color w:val="000000"/>
        </w:rPr>
        <w:t xml:space="preserve"> </w:t>
      </w:r>
      <w:r w:rsidR="00AD1F40" w:rsidRPr="00E635F2">
        <w:rPr>
          <w:color w:val="000000"/>
        </w:rPr>
        <w:t xml:space="preserve">Infected THP-1 cells were perfused into the blood-side inlet of the microfluidic device using 5 mL Luer lock syringes </w:t>
      </w:r>
      <w:r w:rsidRPr="00E635F2">
        <w:rPr>
          <w:color w:val="000000"/>
        </w:rPr>
        <w:t xml:space="preserve">(BD </w:t>
      </w:r>
      <w:proofErr w:type="spellStart"/>
      <w:r w:rsidRPr="00E635F2">
        <w:rPr>
          <w:color w:val="000000"/>
        </w:rPr>
        <w:t>PlastiPak</w:t>
      </w:r>
      <w:proofErr w:type="spellEnd"/>
      <w:r w:rsidRPr="00E635F2">
        <w:rPr>
          <w:color w:val="000000"/>
        </w:rPr>
        <w:t>™, Sial</w:t>
      </w:r>
      <w:r w:rsidR="002E093C" w:rsidRPr="00E635F2">
        <w:rPr>
          <w:color w:val="000000"/>
        </w:rPr>
        <w:t xml:space="preserve"> </w:t>
      </w:r>
      <w:proofErr w:type="spellStart"/>
      <w:r w:rsidR="002E093C" w:rsidRPr="00E635F2">
        <w:rPr>
          <w:color w:val="000000"/>
        </w:rPr>
        <w:t>s.r.l</w:t>
      </w:r>
      <w:proofErr w:type="spellEnd"/>
      <w:r w:rsidR="002E093C" w:rsidRPr="00E635F2">
        <w:rPr>
          <w:color w:val="000000"/>
        </w:rPr>
        <w:t>.</w:t>
      </w:r>
      <w:r w:rsidRPr="00E635F2">
        <w:rPr>
          <w:color w:val="000000"/>
        </w:rPr>
        <w:t>) at a flow rate of 5 µL</w:t>
      </w:r>
      <w:r w:rsidR="00DE01EC" w:rsidRPr="00E635F2">
        <w:rPr>
          <w:color w:val="000000"/>
        </w:rPr>
        <w:t>/</w:t>
      </w:r>
      <w:r w:rsidRPr="00E635F2">
        <w:rPr>
          <w:color w:val="000000"/>
        </w:rPr>
        <w:t xml:space="preserve">min. </w:t>
      </w:r>
      <w:r w:rsidR="00582414" w:rsidRPr="00E635F2">
        <w:rPr>
          <w:color w:val="000000"/>
        </w:rPr>
        <w:t xml:space="preserve">Control conditions include perfusion of: </w:t>
      </w:r>
      <w:proofErr w:type="spellStart"/>
      <w:r w:rsidR="00582414" w:rsidRPr="00E635F2">
        <w:rPr>
          <w:i/>
          <w:iCs/>
          <w:color w:val="000000"/>
        </w:rPr>
        <w:t>i</w:t>
      </w:r>
      <w:proofErr w:type="spellEnd"/>
      <w:r w:rsidR="00582414" w:rsidRPr="00E635F2">
        <w:rPr>
          <w:i/>
          <w:iCs/>
          <w:color w:val="000000"/>
        </w:rPr>
        <w:t>.</w:t>
      </w:r>
      <w:r w:rsidR="00582414" w:rsidRPr="00E635F2">
        <w:rPr>
          <w:color w:val="000000"/>
        </w:rPr>
        <w:t xml:space="preserve"> </w:t>
      </w:r>
      <w:r w:rsidRPr="00E635F2">
        <w:rPr>
          <w:color w:val="000000"/>
        </w:rPr>
        <w:t xml:space="preserve">non-infected THP-1 cells </w:t>
      </w:r>
      <w:r w:rsidR="00582414" w:rsidRPr="00E635F2">
        <w:rPr>
          <w:color w:val="000000"/>
        </w:rPr>
        <w:t>(</w:t>
      </w:r>
      <w:r w:rsidR="00582414" w:rsidRPr="00E635F2">
        <w:rPr>
          <w:rFonts w:ascii="Cambria Math" w:hAnsi="Cambria Math" w:cs="Cambria Math"/>
          <w:color w:val="000000"/>
        </w:rPr>
        <w:t>∼</w:t>
      </w:r>
      <w:r w:rsidR="00582414" w:rsidRPr="00E635F2">
        <w:rPr>
          <w:color w:val="000000"/>
        </w:rPr>
        <w:t>5</w:t>
      </w:r>
      <w:r w:rsidR="008C4A23">
        <w:rPr>
          <w:color w:val="000000" w:themeColor="text1"/>
        </w:rPr>
        <w:t>x</w:t>
      </w:r>
      <w:r w:rsidR="00582414" w:rsidRPr="00E635F2">
        <w:rPr>
          <w:color w:val="000000"/>
        </w:rPr>
        <w:t xml:space="preserve">10⁵ </w:t>
      </w:r>
      <w:r w:rsidRPr="00E635F2">
        <w:rPr>
          <w:color w:val="000000"/>
        </w:rPr>
        <w:t xml:space="preserve">per device) labeled only with </w:t>
      </w:r>
      <w:r w:rsidR="009D48CE" w:rsidRPr="00E635F2">
        <w:rPr>
          <w:color w:val="000000"/>
        </w:rPr>
        <w:t>CellTracker™ Green</w:t>
      </w:r>
      <w:r w:rsidRPr="00E635F2">
        <w:rPr>
          <w:color w:val="000000"/>
        </w:rPr>
        <w:t xml:space="preserve">, </w:t>
      </w:r>
      <w:r w:rsidR="00582414" w:rsidRPr="00E635F2">
        <w:rPr>
          <w:color w:val="000000"/>
        </w:rPr>
        <w:t xml:space="preserve">and </w:t>
      </w:r>
      <w:r w:rsidR="00582414" w:rsidRPr="00E635F2">
        <w:rPr>
          <w:i/>
          <w:iCs/>
          <w:color w:val="000000"/>
        </w:rPr>
        <w:t>ii.</w:t>
      </w:r>
      <w:r w:rsidRPr="00E635F2">
        <w:rPr>
          <w:color w:val="000000"/>
        </w:rPr>
        <w:t xml:space="preserve"> free oHSV-1</w:t>
      </w:r>
      <w:r w:rsidR="002D561D" w:rsidRPr="00E635F2">
        <w:rPr>
          <w:color w:val="000000"/>
        </w:rPr>
        <w:t>-</w:t>
      </w:r>
      <w:r w:rsidRPr="00E635F2">
        <w:rPr>
          <w:color w:val="000000"/>
        </w:rPr>
        <w:t>mCherry</w:t>
      </w:r>
      <w:r w:rsidR="0065658E" w:rsidRPr="00E635F2">
        <w:rPr>
          <w:color w:val="000000"/>
        </w:rPr>
        <w:t xml:space="preserve">, added directly </w:t>
      </w:r>
      <w:r w:rsidRPr="00E635F2">
        <w:rPr>
          <w:color w:val="000000"/>
        </w:rPr>
        <w:t xml:space="preserve">to the </w:t>
      </w:r>
      <w:r w:rsidR="0065658E" w:rsidRPr="00E635F2">
        <w:rPr>
          <w:color w:val="000000"/>
        </w:rPr>
        <w:t xml:space="preserve">perfusion </w:t>
      </w:r>
      <w:r w:rsidRPr="00E635F2">
        <w:rPr>
          <w:color w:val="000000"/>
        </w:rPr>
        <w:t xml:space="preserve">medium </w:t>
      </w:r>
      <w:r w:rsidR="0065658E" w:rsidRPr="00E635F2">
        <w:rPr>
          <w:color w:val="000000"/>
        </w:rPr>
        <w:t>in equivalent viral doses to those</w:t>
      </w:r>
      <w:r w:rsidRPr="00E635F2">
        <w:rPr>
          <w:color w:val="000000"/>
        </w:rPr>
        <w:t xml:space="preserve"> used for THP-1 infection. </w:t>
      </w:r>
    </w:p>
    <w:p w14:paraId="00000066" w14:textId="2AA3FA35" w:rsidR="00C314E0" w:rsidRPr="00E635F2" w:rsidRDefault="003D595D">
      <w:pPr>
        <w:pBdr>
          <w:top w:val="nil"/>
          <w:left w:val="nil"/>
          <w:bottom w:val="nil"/>
          <w:right w:val="nil"/>
          <w:between w:val="nil"/>
        </w:pBdr>
        <w:spacing w:line="276" w:lineRule="auto"/>
        <w:jc w:val="both"/>
        <w:rPr>
          <w:color w:val="000000"/>
        </w:rPr>
      </w:pPr>
      <w:r w:rsidRPr="00E635F2">
        <w:rPr>
          <w:i/>
          <w:color w:val="000000"/>
        </w:rPr>
        <w:t>Primary human monocytes isolation</w:t>
      </w:r>
      <w:r w:rsidRPr="00E635F2">
        <w:rPr>
          <w:color w:val="000000"/>
        </w:rPr>
        <w:t xml:space="preserve">: Primary human monocytes </w:t>
      </w:r>
      <w:r w:rsidR="005122E9" w:rsidRPr="00E635F2">
        <w:rPr>
          <w:color w:val="000000"/>
        </w:rPr>
        <w:t>were isolated</w:t>
      </w:r>
      <w:r w:rsidRPr="00E635F2">
        <w:rPr>
          <w:color w:val="000000"/>
        </w:rPr>
        <w:t xml:space="preserve"> from buffy coats derived from</w:t>
      </w:r>
      <w:r w:rsidR="00BB3CC1" w:rsidRPr="00E635F2">
        <w:rPr>
          <w:color w:val="000000"/>
        </w:rPr>
        <w:t xml:space="preserve"> the</w:t>
      </w:r>
      <w:r w:rsidRPr="00E635F2">
        <w:rPr>
          <w:color w:val="000000"/>
        </w:rPr>
        <w:t xml:space="preserve"> peripheral blood of healthy donors, provided by the Transfusion Center of the University Hospital of Padua. </w:t>
      </w:r>
      <w:r w:rsidR="00DE52F9">
        <w:rPr>
          <w:color w:val="000000"/>
        </w:rPr>
        <w:t>No</w:t>
      </w:r>
      <w:r w:rsidR="00DE52F9" w:rsidRPr="00DE52F9">
        <w:rPr>
          <w:color w:val="000000"/>
        </w:rPr>
        <w:t xml:space="preserve"> prior approval from an ethical committee</w:t>
      </w:r>
      <w:r w:rsidR="00DE52F9">
        <w:rPr>
          <w:color w:val="000000"/>
        </w:rPr>
        <w:t xml:space="preserve"> is required</w:t>
      </w:r>
      <w:r w:rsidR="00DE52F9" w:rsidRPr="00DE52F9">
        <w:rPr>
          <w:color w:val="000000"/>
        </w:rPr>
        <w:t>, as samples are obtained as byproducts of routine blood draws without any additional intervention or burden to the donor</w:t>
      </w:r>
      <w:r w:rsidR="00DE52F9">
        <w:rPr>
          <w:color w:val="000000"/>
        </w:rPr>
        <w:t xml:space="preserve"> and a</w:t>
      </w:r>
      <w:r w:rsidR="00DE52F9" w:rsidRPr="00DE52F9">
        <w:rPr>
          <w:color w:val="000000"/>
        </w:rPr>
        <w:t>ll samples are fully anonymized and handled in compliance with relevant data protection and bioethics regulations.</w:t>
      </w:r>
      <w:r w:rsidR="00DE52F9">
        <w:rPr>
          <w:color w:val="000000"/>
        </w:rPr>
        <w:t xml:space="preserve"> </w:t>
      </w:r>
      <w:r w:rsidR="005122E9" w:rsidRPr="00E635F2">
        <w:rPr>
          <w:color w:val="000000"/>
        </w:rPr>
        <w:t>All</w:t>
      </w:r>
      <w:r w:rsidRPr="00E635F2">
        <w:rPr>
          <w:color w:val="000000"/>
        </w:rPr>
        <w:t xml:space="preserve"> donors </w:t>
      </w:r>
      <w:r w:rsidR="005122E9" w:rsidRPr="00E635F2">
        <w:rPr>
          <w:color w:val="000000"/>
        </w:rPr>
        <w:t>were</w:t>
      </w:r>
      <w:r w:rsidRPr="00E635F2">
        <w:rPr>
          <w:color w:val="000000"/>
        </w:rPr>
        <w:t xml:space="preserve"> screened to </w:t>
      </w:r>
      <w:r w:rsidR="005122E9" w:rsidRPr="00E635F2">
        <w:rPr>
          <w:color w:val="000000"/>
        </w:rPr>
        <w:t>exclude</w:t>
      </w:r>
      <w:r w:rsidRPr="00E635F2">
        <w:rPr>
          <w:color w:val="000000"/>
        </w:rPr>
        <w:t xml:space="preserve"> HIV, HBV, HCV, and Treponema pallidum</w:t>
      </w:r>
      <w:r w:rsidR="0046714E" w:rsidRPr="00E635F2">
        <w:rPr>
          <w:color w:val="000000"/>
        </w:rPr>
        <w:t xml:space="preserve"> infections</w:t>
      </w:r>
      <w:r w:rsidRPr="00E635F2">
        <w:rPr>
          <w:color w:val="000000"/>
        </w:rPr>
        <w:t xml:space="preserve">. Peripheral Blood Mononuclear Cells (PBMCs) </w:t>
      </w:r>
      <w:r w:rsidR="0046714E" w:rsidRPr="00E635F2">
        <w:rPr>
          <w:color w:val="000000"/>
        </w:rPr>
        <w:t>were first</w:t>
      </w:r>
      <w:r w:rsidRPr="00E635F2">
        <w:rPr>
          <w:color w:val="000000"/>
        </w:rPr>
        <w:t xml:space="preserve"> </w:t>
      </w:r>
      <w:r w:rsidR="0046714E" w:rsidRPr="00E635F2">
        <w:rPr>
          <w:color w:val="000000"/>
        </w:rPr>
        <w:t xml:space="preserve">separated via </w:t>
      </w:r>
      <w:r w:rsidRPr="00E635F2">
        <w:rPr>
          <w:color w:val="000000"/>
        </w:rPr>
        <w:t xml:space="preserve">density gradient centrifugation </w:t>
      </w:r>
      <w:r w:rsidR="0046714E" w:rsidRPr="00E635F2">
        <w:rPr>
          <w:color w:val="000000"/>
        </w:rPr>
        <w:t>using</w:t>
      </w:r>
      <w:r w:rsidRPr="00E635F2">
        <w:rPr>
          <w:color w:val="000000"/>
        </w:rPr>
        <w:t xml:space="preserve"> </w:t>
      </w:r>
      <w:proofErr w:type="spellStart"/>
      <w:r w:rsidRPr="00E635F2">
        <w:rPr>
          <w:color w:val="000000"/>
        </w:rPr>
        <w:t>Ficoll</w:t>
      </w:r>
      <w:proofErr w:type="spellEnd"/>
      <w:r w:rsidRPr="00E635F2">
        <w:rPr>
          <w:color w:val="000000"/>
        </w:rPr>
        <w:t>-Paque</w:t>
      </w:r>
      <w:r w:rsidRPr="00E635F2">
        <w:rPr>
          <w:color w:val="000000"/>
          <w:vertAlign w:val="superscript"/>
        </w:rPr>
        <w:t>®</w:t>
      </w:r>
      <w:r w:rsidRPr="00E635F2">
        <w:rPr>
          <w:color w:val="000000"/>
        </w:rPr>
        <w:t xml:space="preserve"> Plus (GE17-1440-03, Sigma-Aldrich</w:t>
      </w:r>
      <w:r w:rsidR="00970900" w:rsidRPr="00E635F2">
        <w:rPr>
          <w:color w:val="000000"/>
        </w:rPr>
        <w:t>, Merck</w:t>
      </w:r>
      <w:r w:rsidRPr="00E635F2">
        <w:rPr>
          <w:color w:val="000000"/>
        </w:rPr>
        <w:t xml:space="preserve">), following the manufacturer’s </w:t>
      </w:r>
      <w:r w:rsidR="0046714E" w:rsidRPr="00E635F2">
        <w:rPr>
          <w:color w:val="000000"/>
        </w:rPr>
        <w:t>protocol</w:t>
      </w:r>
      <w:r w:rsidRPr="00E635F2">
        <w:rPr>
          <w:color w:val="000000"/>
        </w:rPr>
        <w:t xml:space="preserve">. </w:t>
      </w:r>
      <w:r w:rsidR="0046714E" w:rsidRPr="00E635F2">
        <w:rPr>
          <w:color w:val="000000"/>
        </w:rPr>
        <w:t>B</w:t>
      </w:r>
      <w:r w:rsidRPr="00E635F2">
        <w:rPr>
          <w:color w:val="000000"/>
        </w:rPr>
        <w:t xml:space="preserve">riefly, the buffy coat </w:t>
      </w:r>
      <w:r w:rsidR="0046714E" w:rsidRPr="00E635F2">
        <w:rPr>
          <w:color w:val="000000"/>
        </w:rPr>
        <w:t>was gently mixed by inversion (6–8 times), then diluted 1:1 with serum-free RPMI</w:t>
      </w:r>
      <w:r w:rsidRPr="00E635F2">
        <w:rPr>
          <w:color w:val="000000"/>
        </w:rPr>
        <w:t xml:space="preserve">. A layer of </w:t>
      </w:r>
      <w:proofErr w:type="spellStart"/>
      <w:r w:rsidRPr="00E635F2">
        <w:rPr>
          <w:color w:val="000000"/>
        </w:rPr>
        <w:t>Ficoll</w:t>
      </w:r>
      <w:proofErr w:type="spellEnd"/>
      <w:r w:rsidRPr="00E635F2">
        <w:rPr>
          <w:color w:val="000000"/>
        </w:rPr>
        <w:t xml:space="preserve"> </w:t>
      </w:r>
      <w:r w:rsidR="0046714E" w:rsidRPr="00E635F2">
        <w:rPr>
          <w:color w:val="000000"/>
        </w:rPr>
        <w:t>was</w:t>
      </w:r>
      <w:r w:rsidRPr="00E635F2">
        <w:rPr>
          <w:color w:val="000000"/>
        </w:rPr>
        <w:t xml:space="preserve"> carefully added to the bottom of a Falcon tube, and the diluted blood</w:t>
      </w:r>
      <w:r w:rsidR="0046714E" w:rsidRPr="00E635F2">
        <w:rPr>
          <w:color w:val="000000"/>
        </w:rPr>
        <w:t xml:space="preserve"> was </w:t>
      </w:r>
      <w:r w:rsidR="00CB5AE0" w:rsidRPr="00E635F2">
        <w:rPr>
          <w:color w:val="000000"/>
        </w:rPr>
        <w:t>layered on top without disturbing the gradient</w:t>
      </w:r>
      <w:r w:rsidRPr="00E635F2">
        <w:rPr>
          <w:color w:val="000000"/>
        </w:rPr>
        <w:t xml:space="preserve">. The </w:t>
      </w:r>
      <w:r w:rsidR="00CF7E2F" w:rsidRPr="00E635F2">
        <w:rPr>
          <w:color w:val="000000"/>
        </w:rPr>
        <w:t>tubes were</w:t>
      </w:r>
      <w:r w:rsidRPr="00E635F2">
        <w:rPr>
          <w:color w:val="000000"/>
        </w:rPr>
        <w:t xml:space="preserve"> then centrifuged at </w:t>
      </w:r>
      <w:r w:rsidR="00DB22E8" w:rsidRPr="00E635F2">
        <w:rPr>
          <w:color w:val="000000"/>
        </w:rPr>
        <w:t>1000</w:t>
      </w:r>
      <w:r w:rsidRPr="00E635F2">
        <w:rPr>
          <w:color w:val="000000"/>
        </w:rPr>
        <w:t xml:space="preserve"> g for 20 minutes. </w:t>
      </w:r>
      <w:r w:rsidR="00CF7E2F" w:rsidRPr="00E635F2">
        <w:rPr>
          <w:color w:val="000000"/>
        </w:rPr>
        <w:t>The resulting PBMC layer was carefully collected and transferred to a fresh tube</w:t>
      </w:r>
      <w:r w:rsidRPr="00E635F2">
        <w:rPr>
          <w:color w:val="000000"/>
        </w:rPr>
        <w:t>.</w:t>
      </w:r>
      <w:r w:rsidR="00FA7DE8" w:rsidRPr="00E635F2">
        <w:rPr>
          <w:color w:val="000000"/>
        </w:rPr>
        <w:fldChar w:fldCharType="begin" w:fldLock="1"/>
      </w:r>
      <w:r w:rsidR="009B653C" w:rsidRPr="00E635F2">
        <w:rPr>
          <w:color w:val="000000"/>
        </w:rPr>
        <w:instrText>ADDIN CSL_CITATION {"citationItems":[{"id":"ITEM-1","itemData":{"DOI":"10.1016/0022-1759(79)90268-0","ISSN":"0022-1759 (Print)","PMID":"41875","abstract":"The use of a new commerically available medium (Percoll) for fractionation of  human mononuclear leucocytes is described. Cells can be fractionated on the basis of their densities with high reproducibility. The separated cells were characterized by morphological and functional criteria. Monocytes can be obtained in the low density fractions with a purity of 70%--90%. Lymphocytes were found in high density fractions with a purity up to 99%. No separation between E-rosette forming (E-RFC) and surface immunoglobulin-bearing lymphocytes was obtained. However, a reduced number of high avidity E-rosette forming lymphocytes (HAE-RFC) was found within low density lymphocytes. Best spontaneous DNA synthesis and reaction in mixed leucocyte culture (MLC) were obtained with cells isolated from the 1.066/1.068 density interface, whereas the stimulation with phytohemagglutinin (PHA) or pokeweed mitogen (PWM) had a peak response with cells from the 1.064/1.066 density interface. Colony forming myelopoietic stem cells and colony forming T-lymphocytes were detected in fractions of low density.","author":[{"dropping-particle":"","family":"Ulmer","given":"A J","non-dropping-particle":"","parse-names":false,"suffix":""},{"dropping-particle":"","family":"Flad","given":"H D","non-dropping-particle":"","parse-names":false,"suffix":""}],"container-title":"Journal of immunological methods","id":"ITEM-1","issue":"1","issued":{"date-parts":[["1979"]]},"language":"eng","page":"1-10","publisher-place":"Netherlands","title":"Discontinuous density gradient separation of human mononuclear leucocytes using  Percoll as gradient medium.","type":"article-journal","volume":"30"},"uris":["http://www.mendeley.com/documents/?uuid=0d32b027-ea1f-4973-a86f-07fd8b94a3c8"]}],"mendeley":{"formattedCitation":"&lt;sup&gt;[41]&lt;/sup&gt;","plainTextFormattedCitation":"[41]","previouslyFormattedCitation":"&lt;sup&gt;[42]&lt;/sup&gt;"},"properties":{"noteIndex":0},"schema":"https://github.com/citation-style-language/schema/raw/master/csl-citation.json"}</w:instrText>
      </w:r>
      <w:r w:rsidR="00FA7DE8" w:rsidRPr="00E635F2">
        <w:rPr>
          <w:color w:val="000000"/>
        </w:rPr>
        <w:fldChar w:fldCharType="separate"/>
      </w:r>
      <w:r w:rsidR="009B653C" w:rsidRPr="00E635F2">
        <w:rPr>
          <w:noProof/>
          <w:color w:val="000000"/>
          <w:vertAlign w:val="superscript"/>
        </w:rPr>
        <w:t>[41]</w:t>
      </w:r>
      <w:r w:rsidR="00FA7DE8" w:rsidRPr="00E635F2">
        <w:rPr>
          <w:color w:val="000000"/>
        </w:rPr>
        <w:fldChar w:fldCharType="end"/>
      </w:r>
      <w:r w:rsidRPr="00E635F2">
        <w:rPr>
          <w:color w:val="000000"/>
        </w:rPr>
        <w:t xml:space="preserve"> </w:t>
      </w:r>
      <w:r w:rsidR="00970900" w:rsidRPr="00E635F2">
        <w:rPr>
          <w:color w:val="000000"/>
        </w:rPr>
        <w:t>Next, c</w:t>
      </w:r>
      <w:r w:rsidR="00CF7E2F" w:rsidRPr="00E635F2">
        <w:rPr>
          <w:color w:val="000000"/>
        </w:rPr>
        <w:t>ells underwent</w:t>
      </w:r>
      <w:r w:rsidRPr="00E635F2">
        <w:rPr>
          <w:color w:val="000000"/>
        </w:rPr>
        <w:t xml:space="preserve"> three washes with PBS, each </w:t>
      </w:r>
      <w:r w:rsidR="00CF7E2F" w:rsidRPr="00E635F2">
        <w:rPr>
          <w:color w:val="000000"/>
        </w:rPr>
        <w:t>followed by</w:t>
      </w:r>
      <w:r w:rsidRPr="00E635F2">
        <w:rPr>
          <w:color w:val="000000"/>
        </w:rPr>
        <w:t xml:space="preserve"> centrifugation at 1000 </w:t>
      </w:r>
      <w:r w:rsidR="00CF7E2F" w:rsidRPr="00E635F2">
        <w:rPr>
          <w:color w:val="000000"/>
        </w:rPr>
        <w:t>g</w:t>
      </w:r>
      <w:r w:rsidRPr="00E635F2">
        <w:rPr>
          <w:color w:val="000000"/>
        </w:rPr>
        <w:t xml:space="preserve"> for 8 minutes. A final wash </w:t>
      </w:r>
      <w:r w:rsidR="00CF7E2F" w:rsidRPr="00E635F2">
        <w:rPr>
          <w:color w:val="000000"/>
        </w:rPr>
        <w:t xml:space="preserve">at </w:t>
      </w:r>
      <w:r w:rsidRPr="00E635F2">
        <w:rPr>
          <w:color w:val="000000"/>
        </w:rPr>
        <w:t xml:space="preserve">800 </w:t>
      </w:r>
      <w:r w:rsidR="00CF7E2F" w:rsidRPr="00E635F2">
        <w:rPr>
          <w:color w:val="000000"/>
        </w:rPr>
        <w:t xml:space="preserve">g </w:t>
      </w:r>
      <w:r w:rsidRPr="00E635F2">
        <w:rPr>
          <w:color w:val="000000"/>
        </w:rPr>
        <w:t>for 10 minutes remove</w:t>
      </w:r>
      <w:r w:rsidR="00CF7E2F" w:rsidRPr="00E635F2">
        <w:rPr>
          <w:color w:val="000000"/>
        </w:rPr>
        <w:t>d</w:t>
      </w:r>
      <w:r w:rsidRPr="00E635F2">
        <w:rPr>
          <w:color w:val="000000"/>
        </w:rPr>
        <w:t xml:space="preserve"> re</w:t>
      </w:r>
      <w:r w:rsidR="00CF7E2F" w:rsidRPr="00E635F2">
        <w:rPr>
          <w:color w:val="000000"/>
        </w:rPr>
        <w:t>sidual</w:t>
      </w:r>
      <w:r w:rsidRPr="00E635F2">
        <w:rPr>
          <w:color w:val="000000"/>
        </w:rPr>
        <w:t xml:space="preserve"> platelets. </w:t>
      </w:r>
      <w:r w:rsidR="0071785D" w:rsidRPr="00E635F2">
        <w:rPr>
          <w:color w:val="000000"/>
        </w:rPr>
        <w:t>M</w:t>
      </w:r>
      <w:r w:rsidRPr="00E635F2">
        <w:rPr>
          <w:color w:val="000000"/>
        </w:rPr>
        <w:t xml:space="preserve">onocytes </w:t>
      </w:r>
      <w:r w:rsidR="0071785D" w:rsidRPr="00E635F2">
        <w:rPr>
          <w:color w:val="000000"/>
        </w:rPr>
        <w:t>were then positively</w:t>
      </w:r>
      <w:r w:rsidRPr="00E635F2">
        <w:rPr>
          <w:color w:val="000000"/>
        </w:rPr>
        <w:t xml:space="preserve"> </w:t>
      </w:r>
      <w:r w:rsidR="0071785D" w:rsidRPr="00E635F2">
        <w:rPr>
          <w:color w:val="000000"/>
        </w:rPr>
        <w:t>selected</w:t>
      </w:r>
      <w:r w:rsidRPr="00E635F2">
        <w:rPr>
          <w:color w:val="000000"/>
        </w:rPr>
        <w:t xml:space="preserve"> using the </w:t>
      </w:r>
      <w:proofErr w:type="spellStart"/>
      <w:r w:rsidRPr="00E635F2">
        <w:rPr>
          <w:color w:val="000000"/>
        </w:rPr>
        <w:t>EasySep</w:t>
      </w:r>
      <w:proofErr w:type="spellEnd"/>
      <w:r w:rsidRPr="00E635F2">
        <w:rPr>
          <w:color w:val="000000"/>
        </w:rPr>
        <w:t>™ Human CD14 Positive Selection Kit II (</w:t>
      </w:r>
      <w:proofErr w:type="spellStart"/>
      <w:r w:rsidRPr="00E635F2">
        <w:rPr>
          <w:color w:val="000000"/>
        </w:rPr>
        <w:t>Stemcell</w:t>
      </w:r>
      <w:r w:rsidRPr="00E635F2">
        <w:rPr>
          <w:color w:val="000000"/>
          <w:vertAlign w:val="superscript"/>
        </w:rPr>
        <w:t>TM</w:t>
      </w:r>
      <w:proofErr w:type="spellEnd"/>
      <w:r w:rsidRPr="00E635F2">
        <w:rPr>
          <w:color w:val="000000"/>
        </w:rPr>
        <w:t xml:space="preserve"> Technologies</w:t>
      </w:r>
      <w:r w:rsidR="00970900" w:rsidRPr="00E635F2">
        <w:rPr>
          <w:color w:val="000000"/>
        </w:rPr>
        <w:t>, Vancouver, Canada</w:t>
      </w:r>
      <w:r w:rsidRPr="00E635F2">
        <w:rPr>
          <w:color w:val="000000"/>
        </w:rPr>
        <w:t xml:space="preserve">), </w:t>
      </w:r>
      <w:r w:rsidR="0071785D" w:rsidRPr="00E635F2">
        <w:rPr>
          <w:color w:val="000000"/>
        </w:rPr>
        <w:t>according to the manufacturer’s instructions</w:t>
      </w:r>
      <w:r w:rsidRPr="00E635F2">
        <w:rPr>
          <w:color w:val="000000"/>
        </w:rPr>
        <w:t xml:space="preserve">. </w:t>
      </w:r>
    </w:p>
    <w:p w14:paraId="00000068" w14:textId="2701E73A" w:rsidR="00C314E0" w:rsidRPr="00E635F2" w:rsidRDefault="003D595D" w:rsidP="001C2254">
      <w:pPr>
        <w:pBdr>
          <w:top w:val="nil"/>
          <w:left w:val="nil"/>
          <w:bottom w:val="nil"/>
          <w:right w:val="nil"/>
          <w:between w:val="nil"/>
        </w:pBdr>
        <w:spacing w:before="280" w:after="280" w:line="276" w:lineRule="auto"/>
        <w:jc w:val="both"/>
      </w:pPr>
      <w:bookmarkStart w:id="1" w:name="OLE_LINK2"/>
      <w:r w:rsidRPr="00E635F2">
        <w:rPr>
          <w:i/>
          <w:color w:val="000000"/>
        </w:rPr>
        <w:lastRenderedPageBreak/>
        <w:t>Flow cytometry analysis for human primary monocytes</w:t>
      </w:r>
      <w:r w:rsidRPr="00E635F2">
        <w:rPr>
          <w:color w:val="000000"/>
        </w:rPr>
        <w:t xml:space="preserve">: </w:t>
      </w:r>
      <w:r w:rsidR="001C2254" w:rsidRPr="00E635F2">
        <w:t>Following</w:t>
      </w:r>
      <w:r w:rsidR="007C0CFD" w:rsidRPr="00E635F2">
        <w:t xml:space="preserve"> isolation, human primary monocytes </w:t>
      </w:r>
      <w:r w:rsidR="001C2254" w:rsidRPr="00E635F2">
        <w:t>were</w:t>
      </w:r>
      <w:r w:rsidR="007C0CFD" w:rsidRPr="00E635F2">
        <w:t xml:space="preserve"> counted using a hemocytometer or an automated cell counter. To assess purity, </w:t>
      </w:r>
      <w:r w:rsidR="007C0CFD" w:rsidRPr="00E635F2">
        <w:rPr>
          <w:rStyle w:val="Strong"/>
          <w:b w:val="0"/>
        </w:rPr>
        <w:t>1</w:t>
      </w:r>
      <w:r w:rsidR="008C4A23">
        <w:rPr>
          <w:color w:val="000000" w:themeColor="text1"/>
        </w:rPr>
        <w:t>x</w:t>
      </w:r>
      <w:r w:rsidR="007C0CFD" w:rsidRPr="00E635F2">
        <w:rPr>
          <w:rStyle w:val="Strong"/>
          <w:b w:val="0"/>
        </w:rPr>
        <w:t>10⁶</w:t>
      </w:r>
      <w:r w:rsidR="007C0CFD" w:rsidRPr="00E635F2">
        <w:t xml:space="preserve"> cells </w:t>
      </w:r>
      <w:r w:rsidR="001C2254" w:rsidRPr="00E635F2">
        <w:t>were</w:t>
      </w:r>
      <w:r w:rsidR="007C0CFD" w:rsidRPr="00E635F2">
        <w:t xml:space="preserve"> resuspended in PBS and </w:t>
      </w:r>
      <w:r w:rsidR="001C2254" w:rsidRPr="00E635F2">
        <w:t>incubated</w:t>
      </w:r>
      <w:r w:rsidR="007C0CFD" w:rsidRPr="00E635F2">
        <w:t xml:space="preserve"> with </w:t>
      </w:r>
      <w:r w:rsidR="001C2254" w:rsidRPr="00E635F2">
        <w:t xml:space="preserve">a </w:t>
      </w:r>
      <w:r w:rsidR="007C0CFD" w:rsidRPr="00E635F2">
        <w:t>fluorophore-conjugated anti-CD14 antibody</w:t>
      </w:r>
      <w:r w:rsidR="00B73A8E" w:rsidRPr="00E635F2">
        <w:t xml:space="preserve"> (</w:t>
      </w:r>
      <w:r w:rsidR="002E093C" w:rsidRPr="00E635F2">
        <w:t>CD14V450, Becton Dickinson</w:t>
      </w:r>
      <w:r w:rsidR="00970900" w:rsidRPr="00E635F2">
        <w:t>, Milan, Italy</w:t>
      </w:r>
      <w:r w:rsidR="002E093C" w:rsidRPr="00E635F2">
        <w:t>)</w:t>
      </w:r>
      <w:r w:rsidR="007C0CFD" w:rsidRPr="00E635F2">
        <w:t xml:space="preserve"> for </w:t>
      </w:r>
      <w:r w:rsidR="007C0CFD" w:rsidRPr="00E635F2">
        <w:rPr>
          <w:rStyle w:val="Strong"/>
          <w:b w:val="0"/>
        </w:rPr>
        <w:t>30 min</w:t>
      </w:r>
      <w:r w:rsidR="00F6592F" w:rsidRPr="00E635F2">
        <w:rPr>
          <w:rStyle w:val="Strong"/>
          <w:b w:val="0"/>
        </w:rPr>
        <w:t>utes</w:t>
      </w:r>
      <w:r w:rsidR="007C0CFD" w:rsidRPr="00E635F2">
        <w:rPr>
          <w:rStyle w:val="Strong"/>
          <w:b w:val="0"/>
        </w:rPr>
        <w:t xml:space="preserve"> at 4°C</w:t>
      </w:r>
      <w:r w:rsidR="007C0CFD" w:rsidRPr="00E635F2">
        <w:t xml:space="preserve"> in the dark. After incubation, cells </w:t>
      </w:r>
      <w:r w:rsidR="001C2254" w:rsidRPr="00E635F2">
        <w:t>were</w:t>
      </w:r>
      <w:r w:rsidR="007C0CFD" w:rsidRPr="00E635F2">
        <w:t xml:space="preserve"> washed and resuspended in PBS. Samples </w:t>
      </w:r>
      <w:r w:rsidR="001C2254" w:rsidRPr="00E635F2">
        <w:t>were</w:t>
      </w:r>
      <w:r w:rsidR="007C0CFD" w:rsidRPr="00E635F2">
        <w:t xml:space="preserve"> analyzed using a flow cytometer</w:t>
      </w:r>
      <w:r w:rsidR="009D4529" w:rsidRPr="00E635F2">
        <w:t xml:space="preserve"> (</w:t>
      </w:r>
      <w:r w:rsidR="002E093C" w:rsidRPr="00E635F2">
        <w:t>FACS Canto II, Becton Dickinson)</w:t>
      </w:r>
      <w:r w:rsidR="00274321">
        <w:t xml:space="preserve"> </w:t>
      </w:r>
      <w:r w:rsidR="001C2254" w:rsidRPr="00E635F2">
        <w:t>with</w:t>
      </w:r>
      <w:r w:rsidR="007C0CFD" w:rsidRPr="00E635F2">
        <w:t xml:space="preserve"> gating </w:t>
      </w:r>
      <w:r w:rsidR="001C2254" w:rsidRPr="00E635F2">
        <w:t>applied to</w:t>
      </w:r>
      <w:r w:rsidR="007C0CFD" w:rsidRPr="00E635F2">
        <w:t xml:space="preserve"> viable single cells</w:t>
      </w:r>
      <w:r w:rsidR="001C2254" w:rsidRPr="00E635F2">
        <w:t>. M</w:t>
      </w:r>
      <w:r w:rsidR="007C0CFD" w:rsidRPr="00E635F2">
        <w:t xml:space="preserve">onocyte purity </w:t>
      </w:r>
      <w:r w:rsidR="001C2254" w:rsidRPr="00E635F2">
        <w:t>was</w:t>
      </w:r>
      <w:r w:rsidR="007C0CFD" w:rsidRPr="00E635F2">
        <w:t xml:space="preserve"> determined based on the </w:t>
      </w:r>
      <w:r w:rsidR="001C2254" w:rsidRPr="00E635F2">
        <w:t>percentage of</w:t>
      </w:r>
      <w:r w:rsidR="001C2254" w:rsidRPr="00E635F2">
        <w:rPr>
          <w:rStyle w:val="Strong"/>
          <w:b w:val="0"/>
        </w:rPr>
        <w:t xml:space="preserve"> </w:t>
      </w:r>
      <w:r w:rsidR="007C0CFD" w:rsidRPr="00E635F2">
        <w:rPr>
          <w:rStyle w:val="Strong"/>
          <w:b w:val="0"/>
        </w:rPr>
        <w:t>CD14</w:t>
      </w:r>
      <w:r w:rsidR="007C0CFD" w:rsidRPr="00E635F2">
        <w:rPr>
          <w:rStyle w:val="Strong"/>
          <w:b w:val="0"/>
          <w:vertAlign w:val="superscript"/>
        </w:rPr>
        <w:t>+</w:t>
      </w:r>
      <w:r w:rsidR="007C0CFD" w:rsidRPr="00E635F2">
        <w:rPr>
          <w:rStyle w:val="Strong"/>
        </w:rPr>
        <w:t xml:space="preserve"> </w:t>
      </w:r>
      <w:r w:rsidR="001C2254" w:rsidRPr="00E635F2">
        <w:t>cells, with a threshold of</w:t>
      </w:r>
      <w:r w:rsidR="007C0CFD" w:rsidRPr="00E635F2">
        <w:t xml:space="preserve"> </w:t>
      </w:r>
      <w:r w:rsidR="007C0CFD" w:rsidRPr="00E635F2">
        <w:rPr>
          <w:rStyle w:val="Strong"/>
        </w:rPr>
        <w:t>≥</w:t>
      </w:r>
      <w:r w:rsidR="007C0CFD" w:rsidRPr="00E635F2">
        <w:rPr>
          <w:rStyle w:val="Strong"/>
          <w:b w:val="0"/>
        </w:rPr>
        <w:t>80%</w:t>
      </w:r>
      <w:r w:rsidR="007C0CFD" w:rsidRPr="00E635F2">
        <w:t xml:space="preserve"> </w:t>
      </w:r>
      <w:r w:rsidR="001C2254" w:rsidRPr="00E635F2">
        <w:t>indicating</w:t>
      </w:r>
      <w:r w:rsidR="007C0CFD" w:rsidRPr="00E635F2">
        <w:t xml:space="preserve"> successful isolation.</w:t>
      </w:r>
    </w:p>
    <w:bookmarkEnd w:id="1"/>
    <w:p w14:paraId="0000006A" w14:textId="3127770E" w:rsidR="00C314E0" w:rsidRPr="00E635F2" w:rsidRDefault="003D595D" w:rsidP="00F06B02">
      <w:pPr>
        <w:pBdr>
          <w:top w:val="nil"/>
          <w:left w:val="nil"/>
          <w:bottom w:val="nil"/>
          <w:right w:val="nil"/>
          <w:between w:val="nil"/>
        </w:pBdr>
        <w:spacing w:before="280" w:after="280" w:line="276" w:lineRule="auto"/>
        <w:jc w:val="both"/>
        <w:rPr>
          <w:color w:val="000000"/>
        </w:rPr>
      </w:pPr>
      <w:r w:rsidRPr="00E635F2">
        <w:rPr>
          <w:i/>
          <w:color w:val="000000"/>
        </w:rPr>
        <w:t>Static and BBB-on-chip infection of U87</w:t>
      </w:r>
      <w:r w:rsidR="00283861">
        <w:rPr>
          <w:i/>
          <w:color w:val="000000"/>
        </w:rPr>
        <w:t>-</w:t>
      </w:r>
      <w:r w:rsidR="001052CD">
        <w:rPr>
          <w:i/>
          <w:color w:val="000000"/>
        </w:rPr>
        <w:t>GBM</w:t>
      </w:r>
      <w:r w:rsidRPr="00E635F2">
        <w:rPr>
          <w:i/>
          <w:color w:val="000000"/>
        </w:rPr>
        <w:t xml:space="preserve"> spheroids with oHSV-1</w:t>
      </w:r>
      <w:r w:rsidR="002D561D" w:rsidRPr="00E635F2">
        <w:rPr>
          <w:i/>
          <w:color w:val="000000"/>
        </w:rPr>
        <w:t>-</w:t>
      </w:r>
      <w:r w:rsidRPr="00E635F2">
        <w:rPr>
          <w:i/>
          <w:color w:val="000000"/>
        </w:rPr>
        <w:t>mCherry transported by primary monocytes:</w:t>
      </w:r>
      <w:r w:rsidRPr="00E635F2">
        <w:rPr>
          <w:color w:val="000000"/>
        </w:rPr>
        <w:t xml:space="preserve"> The static infection of U87</w:t>
      </w:r>
      <w:r w:rsidR="00283861">
        <w:rPr>
          <w:color w:val="000000"/>
        </w:rPr>
        <w:t>-</w:t>
      </w:r>
      <w:r w:rsidR="001052CD">
        <w:rPr>
          <w:color w:val="000000"/>
        </w:rPr>
        <w:t>GBM</w:t>
      </w:r>
      <w:r w:rsidRPr="00E635F2">
        <w:rPr>
          <w:color w:val="000000"/>
        </w:rPr>
        <w:t xml:space="preserve"> spheroids with human primary monocytes </w:t>
      </w:r>
      <w:r w:rsidR="00CF0CD3" w:rsidRPr="00E635F2">
        <w:rPr>
          <w:color w:val="000000"/>
        </w:rPr>
        <w:t>was</w:t>
      </w:r>
      <w:r w:rsidRPr="00E635F2">
        <w:rPr>
          <w:color w:val="000000"/>
        </w:rPr>
        <w:t xml:space="preserve"> performed </w:t>
      </w:r>
      <w:r w:rsidR="00CF0CD3" w:rsidRPr="00E635F2">
        <w:rPr>
          <w:color w:val="000000"/>
        </w:rPr>
        <w:t>according to</w:t>
      </w:r>
      <w:r w:rsidRPr="00E635F2">
        <w:rPr>
          <w:color w:val="000000"/>
        </w:rPr>
        <w:t xml:space="preserve"> the protocols described in the previous sections. </w:t>
      </w:r>
      <w:r w:rsidR="00CF0CD3" w:rsidRPr="00E635F2">
        <w:rPr>
          <w:color w:val="000000"/>
        </w:rPr>
        <w:t>Human p</w:t>
      </w:r>
      <w:r w:rsidRPr="00E635F2">
        <w:rPr>
          <w:color w:val="000000"/>
        </w:rPr>
        <w:t>rimary monocytes</w:t>
      </w:r>
      <w:r w:rsidR="00CF0CD3" w:rsidRPr="00E635F2">
        <w:rPr>
          <w:color w:val="000000"/>
        </w:rPr>
        <w:t>,</w:t>
      </w:r>
      <w:r w:rsidRPr="00E635F2">
        <w:rPr>
          <w:color w:val="000000"/>
        </w:rPr>
        <w:t xml:space="preserve"> isolated from buffy coats, </w:t>
      </w:r>
      <w:r w:rsidR="00CF0CD3" w:rsidRPr="00E635F2">
        <w:rPr>
          <w:color w:val="000000"/>
        </w:rPr>
        <w:t>were</w:t>
      </w:r>
      <w:r w:rsidRPr="00E635F2">
        <w:rPr>
          <w:color w:val="000000"/>
        </w:rPr>
        <w:t xml:space="preserve"> infected with oHSV-1</w:t>
      </w:r>
      <w:r w:rsidR="002D561D" w:rsidRPr="00E635F2">
        <w:rPr>
          <w:color w:val="000000"/>
        </w:rPr>
        <w:t>-</w:t>
      </w:r>
      <w:r w:rsidRPr="00E635F2">
        <w:rPr>
          <w:color w:val="000000"/>
        </w:rPr>
        <w:t xml:space="preserve">mCherry </w:t>
      </w:r>
      <w:r w:rsidR="00970900" w:rsidRPr="00E635F2">
        <w:rPr>
          <w:color w:val="000000"/>
        </w:rPr>
        <w:t>(</w:t>
      </w:r>
      <w:r w:rsidRPr="00E635F2">
        <w:rPr>
          <w:color w:val="000000"/>
        </w:rPr>
        <w:t>MOI</w:t>
      </w:r>
      <w:r w:rsidR="00303F1F" w:rsidRPr="00E635F2">
        <w:rPr>
          <w:color w:val="000000"/>
        </w:rPr>
        <w:t xml:space="preserve"> </w:t>
      </w:r>
      <w:r w:rsidR="00970900" w:rsidRPr="00E635F2">
        <w:rPr>
          <w:color w:val="000000"/>
        </w:rPr>
        <w:t>=</w:t>
      </w:r>
      <w:r w:rsidRPr="00E635F2">
        <w:rPr>
          <w:color w:val="000000"/>
        </w:rPr>
        <w:t xml:space="preserve"> 3 PFU/cell</w:t>
      </w:r>
      <w:r w:rsidR="00970900" w:rsidRPr="00E635F2">
        <w:rPr>
          <w:color w:val="000000"/>
        </w:rPr>
        <w:t>)</w:t>
      </w:r>
      <w:r w:rsidR="00AC44CB" w:rsidRPr="00E635F2">
        <w:rPr>
          <w:color w:val="000000"/>
        </w:rPr>
        <w:t xml:space="preserve"> for </w:t>
      </w:r>
      <w:r w:rsidR="00CF0CD3" w:rsidRPr="00E635F2">
        <w:rPr>
          <w:color w:val="000000"/>
        </w:rPr>
        <w:t>1</w:t>
      </w:r>
      <w:r w:rsidR="00AC44CB" w:rsidRPr="00E635F2">
        <w:rPr>
          <w:color w:val="000000"/>
        </w:rPr>
        <w:t xml:space="preserve"> hour at 37°C</w:t>
      </w:r>
      <w:r w:rsidRPr="00E635F2">
        <w:rPr>
          <w:color w:val="000000"/>
        </w:rPr>
        <w:t xml:space="preserve">. </w:t>
      </w:r>
      <w:r w:rsidR="00CF0CD3" w:rsidRPr="00E635F2">
        <w:rPr>
          <w:color w:val="000000"/>
        </w:rPr>
        <w:t>After infection</w:t>
      </w:r>
      <w:r w:rsidRPr="00E635F2">
        <w:rPr>
          <w:color w:val="000000"/>
        </w:rPr>
        <w:t xml:space="preserve">, cells </w:t>
      </w:r>
      <w:r w:rsidR="00CF0CD3" w:rsidRPr="00E635F2">
        <w:rPr>
          <w:color w:val="000000"/>
        </w:rPr>
        <w:t>were</w:t>
      </w:r>
      <w:r w:rsidRPr="00E635F2">
        <w:rPr>
          <w:color w:val="000000"/>
        </w:rPr>
        <w:t xml:space="preserve"> labeled with </w:t>
      </w:r>
      <w:r w:rsidR="009D48CE" w:rsidRPr="00E635F2">
        <w:rPr>
          <w:color w:val="000000"/>
        </w:rPr>
        <w:t xml:space="preserve">CellTracker™ Green </w:t>
      </w:r>
      <w:r w:rsidRPr="00E635F2">
        <w:rPr>
          <w:color w:val="000000"/>
        </w:rPr>
        <w:t>(</w:t>
      </w:r>
      <w:r w:rsidR="00CF0CD3" w:rsidRPr="00E635F2">
        <w:rPr>
          <w:color w:val="000000"/>
        </w:rPr>
        <w:t>diluted</w:t>
      </w:r>
      <w:r w:rsidRPr="00E635F2">
        <w:rPr>
          <w:color w:val="000000"/>
        </w:rPr>
        <w:t xml:space="preserve"> in serum-free RPMI) by incubating for 20 minutes at 37°C. </w:t>
      </w:r>
      <w:r w:rsidR="00F22FAD" w:rsidRPr="00E635F2">
        <w:rPr>
          <w:color w:val="000000"/>
        </w:rPr>
        <w:t xml:space="preserve">Monocytes were then pelleted, </w:t>
      </w:r>
      <w:r w:rsidRPr="00E635F2">
        <w:rPr>
          <w:color w:val="000000"/>
        </w:rPr>
        <w:t>resuspended in DMEM supplemented with 10% FBS</w:t>
      </w:r>
      <w:r w:rsidR="00F22FAD" w:rsidRPr="00E635F2">
        <w:rPr>
          <w:color w:val="000000"/>
        </w:rPr>
        <w:t>,</w:t>
      </w:r>
      <w:r w:rsidRPr="00E635F2">
        <w:rPr>
          <w:color w:val="000000"/>
        </w:rPr>
        <w:t xml:space="preserve"> and added to </w:t>
      </w:r>
      <w:r w:rsidR="00F22FAD" w:rsidRPr="00E635F2">
        <w:rPr>
          <w:color w:val="000000"/>
        </w:rPr>
        <w:t>pre-formed</w:t>
      </w:r>
      <w:r w:rsidRPr="00E635F2">
        <w:rPr>
          <w:color w:val="000000"/>
        </w:rPr>
        <w:t xml:space="preserve"> U87</w:t>
      </w:r>
      <w:r w:rsidR="00222A2E" w:rsidRPr="00E635F2">
        <w:rPr>
          <w:color w:val="000000"/>
        </w:rPr>
        <w:t>-MG</w:t>
      </w:r>
      <w:r w:rsidRPr="00E635F2">
        <w:rPr>
          <w:color w:val="000000"/>
        </w:rPr>
        <w:t xml:space="preserve"> tumor spheroids at a concentration of 5</w:t>
      </w:r>
      <w:r w:rsidR="008C4A23">
        <w:rPr>
          <w:color w:val="000000" w:themeColor="text1"/>
        </w:rPr>
        <w:t>x</w:t>
      </w:r>
      <w:r w:rsidRPr="00E635F2">
        <w:rPr>
          <w:color w:val="000000"/>
        </w:rPr>
        <w:t xml:space="preserve">10³ cells per spheroid. For BBB-on-chip experiments, </w:t>
      </w:r>
      <w:r w:rsidR="00F22FAD" w:rsidRPr="00E635F2">
        <w:rPr>
          <w:color w:val="000000"/>
        </w:rPr>
        <w:t xml:space="preserve">primary </w:t>
      </w:r>
      <w:r w:rsidRPr="00E635F2">
        <w:rPr>
          <w:color w:val="000000"/>
        </w:rPr>
        <w:t xml:space="preserve">human monocytes </w:t>
      </w:r>
      <w:r w:rsidR="00F22FAD" w:rsidRPr="00E635F2">
        <w:rPr>
          <w:color w:val="000000"/>
        </w:rPr>
        <w:t>were</w:t>
      </w:r>
      <w:r w:rsidRPr="00E635F2">
        <w:rPr>
          <w:color w:val="000000"/>
        </w:rPr>
        <w:t xml:space="preserve"> stained with </w:t>
      </w:r>
      <w:r w:rsidR="008A0971" w:rsidRPr="00E635F2">
        <w:rPr>
          <w:color w:val="000000"/>
        </w:rPr>
        <w:t xml:space="preserve">CellTracker™ Green </w:t>
      </w:r>
      <w:r w:rsidRPr="00E635F2">
        <w:rPr>
          <w:color w:val="000000"/>
        </w:rPr>
        <w:t>and infected with oHSV-1</w:t>
      </w:r>
      <w:r w:rsidR="002D561D" w:rsidRPr="00E635F2">
        <w:rPr>
          <w:color w:val="000000"/>
        </w:rPr>
        <w:t>-</w:t>
      </w:r>
      <w:r w:rsidRPr="00E635F2">
        <w:rPr>
          <w:color w:val="000000"/>
        </w:rPr>
        <w:t xml:space="preserve">mCherry at </w:t>
      </w:r>
      <w:r w:rsidR="00303F1F" w:rsidRPr="00E635F2">
        <w:rPr>
          <w:color w:val="000000"/>
        </w:rPr>
        <w:t xml:space="preserve">an </w:t>
      </w:r>
      <w:r w:rsidRPr="00E635F2">
        <w:rPr>
          <w:color w:val="000000"/>
        </w:rPr>
        <w:t xml:space="preserve">MOI </w:t>
      </w:r>
      <w:r w:rsidR="00303F1F" w:rsidRPr="00E635F2">
        <w:rPr>
          <w:color w:val="000000"/>
        </w:rPr>
        <w:t xml:space="preserve">of </w:t>
      </w:r>
      <w:r w:rsidRPr="00E635F2">
        <w:rPr>
          <w:color w:val="000000"/>
        </w:rPr>
        <w:t>3 PFU/cell</w:t>
      </w:r>
      <w:r w:rsidR="00F22FAD" w:rsidRPr="00E635F2">
        <w:rPr>
          <w:color w:val="000000"/>
        </w:rPr>
        <w:t>, as described above</w:t>
      </w:r>
      <w:r w:rsidRPr="00E635F2">
        <w:rPr>
          <w:color w:val="000000"/>
        </w:rPr>
        <w:t xml:space="preserve">. </w:t>
      </w:r>
      <w:r w:rsidR="00F22FAD" w:rsidRPr="00E635F2">
        <w:rPr>
          <w:color w:val="000000"/>
        </w:rPr>
        <w:t xml:space="preserve">Following </w:t>
      </w:r>
      <w:r w:rsidRPr="00E635F2">
        <w:rPr>
          <w:color w:val="000000"/>
        </w:rPr>
        <w:t xml:space="preserve">infection, monocytes </w:t>
      </w:r>
      <w:r w:rsidR="00F22FAD" w:rsidRPr="00E635F2">
        <w:rPr>
          <w:color w:val="000000"/>
        </w:rPr>
        <w:t>were</w:t>
      </w:r>
      <w:r w:rsidRPr="00E635F2">
        <w:rPr>
          <w:color w:val="000000"/>
        </w:rPr>
        <w:t xml:space="preserve"> resuspended in 2 mL of DMEM supplemented with 10% FBS</w:t>
      </w:r>
      <w:r w:rsidR="00F22FAD" w:rsidRPr="00E635F2">
        <w:rPr>
          <w:color w:val="000000"/>
        </w:rPr>
        <w:t xml:space="preserve"> to </w:t>
      </w:r>
      <w:r w:rsidRPr="00E635F2">
        <w:rPr>
          <w:color w:val="000000"/>
        </w:rPr>
        <w:t>achiev</w:t>
      </w:r>
      <w:r w:rsidR="00F22FAD" w:rsidRPr="00E635F2">
        <w:rPr>
          <w:color w:val="000000"/>
        </w:rPr>
        <w:t>e</w:t>
      </w:r>
      <w:r w:rsidRPr="00E635F2">
        <w:rPr>
          <w:color w:val="000000"/>
        </w:rPr>
        <w:t xml:space="preserve"> a final concentration of </w:t>
      </w:r>
      <w:r w:rsidR="000E6004" w:rsidRPr="00E635F2">
        <w:rPr>
          <w:color w:val="000000"/>
        </w:rPr>
        <w:t>3</w:t>
      </w:r>
      <w:r w:rsidR="008C4A23">
        <w:rPr>
          <w:color w:val="000000" w:themeColor="text1"/>
        </w:rPr>
        <w:t>x</w:t>
      </w:r>
      <w:r w:rsidRPr="00E635F2">
        <w:rPr>
          <w:color w:val="000000"/>
        </w:rPr>
        <w:t>10⁵ cells</w:t>
      </w:r>
      <w:r w:rsidR="00F22FAD" w:rsidRPr="00E635F2">
        <w:rPr>
          <w:color w:val="000000"/>
        </w:rPr>
        <w:t>/</w:t>
      </w:r>
      <w:proofErr w:type="spellStart"/>
      <w:r w:rsidRPr="00E635F2">
        <w:rPr>
          <w:color w:val="000000"/>
        </w:rPr>
        <w:t>mL</w:t>
      </w:r>
      <w:r w:rsidR="00BF6DF2" w:rsidRPr="00E635F2">
        <w:rPr>
          <w:color w:val="000000"/>
        </w:rPr>
        <w:t>.</w:t>
      </w:r>
      <w:proofErr w:type="spellEnd"/>
      <w:r w:rsidR="00BF6DF2" w:rsidRPr="00E635F2">
        <w:rPr>
          <w:color w:val="000000"/>
        </w:rPr>
        <w:t xml:space="preserve"> This suspension was </w:t>
      </w:r>
      <w:r w:rsidRPr="00E635F2">
        <w:rPr>
          <w:color w:val="000000"/>
        </w:rPr>
        <w:t>loaded into 5 mL Luer</w:t>
      </w:r>
      <w:r w:rsidR="00BF6DF2" w:rsidRPr="00E635F2">
        <w:rPr>
          <w:color w:val="000000"/>
        </w:rPr>
        <w:t>-</w:t>
      </w:r>
      <w:r w:rsidRPr="00E635F2">
        <w:rPr>
          <w:color w:val="000000"/>
        </w:rPr>
        <w:t>lock syringes</w:t>
      </w:r>
      <w:r w:rsidR="00BF6DF2" w:rsidRPr="00E635F2">
        <w:rPr>
          <w:color w:val="000000"/>
        </w:rPr>
        <w:t xml:space="preserve"> and</w:t>
      </w:r>
      <w:r w:rsidRPr="00E635F2">
        <w:rPr>
          <w:color w:val="000000"/>
        </w:rPr>
        <w:t xml:space="preserve"> perfused </w:t>
      </w:r>
      <w:r w:rsidR="00BF6DF2" w:rsidRPr="00E635F2">
        <w:rPr>
          <w:color w:val="000000"/>
        </w:rPr>
        <w:t xml:space="preserve">through </w:t>
      </w:r>
      <w:r w:rsidRPr="00E635F2">
        <w:rPr>
          <w:color w:val="000000"/>
        </w:rPr>
        <w:t>the blood</w:t>
      </w:r>
      <w:r w:rsidR="00BF6DF2" w:rsidRPr="00E635F2">
        <w:rPr>
          <w:color w:val="000000"/>
        </w:rPr>
        <w:t>-</w:t>
      </w:r>
      <w:r w:rsidRPr="00E635F2">
        <w:rPr>
          <w:color w:val="000000"/>
        </w:rPr>
        <w:t xml:space="preserve">side </w:t>
      </w:r>
      <w:r w:rsidR="00BF6DF2" w:rsidRPr="00E635F2">
        <w:rPr>
          <w:color w:val="000000"/>
        </w:rPr>
        <w:t xml:space="preserve">inlet </w:t>
      </w:r>
      <w:r w:rsidRPr="00E635F2">
        <w:rPr>
          <w:color w:val="000000"/>
        </w:rPr>
        <w:t xml:space="preserve">of the </w:t>
      </w:r>
      <w:r w:rsidR="00BF6DF2" w:rsidRPr="00E635F2">
        <w:rPr>
          <w:color w:val="000000"/>
        </w:rPr>
        <w:t xml:space="preserve">BBB-on-chip </w:t>
      </w:r>
      <w:r w:rsidRPr="00E635F2">
        <w:rPr>
          <w:color w:val="000000"/>
        </w:rPr>
        <w:t>device at a</w:t>
      </w:r>
      <w:r w:rsidR="00BF6DF2" w:rsidRPr="00E635F2">
        <w:rPr>
          <w:color w:val="000000"/>
        </w:rPr>
        <w:t xml:space="preserve"> constant</w:t>
      </w:r>
      <w:r w:rsidRPr="00E635F2">
        <w:rPr>
          <w:color w:val="000000"/>
        </w:rPr>
        <w:t xml:space="preserve"> flow rate of 5 µL</w:t>
      </w:r>
      <w:r w:rsidR="00BF6DF2" w:rsidRPr="00E635F2">
        <w:rPr>
          <w:color w:val="000000"/>
        </w:rPr>
        <w:t>/</w:t>
      </w:r>
      <w:r w:rsidRPr="00E635F2">
        <w:rPr>
          <w:color w:val="000000"/>
        </w:rPr>
        <w:t xml:space="preserve">min. </w:t>
      </w:r>
      <w:r w:rsidR="00BF6DF2" w:rsidRPr="00E635F2">
        <w:rPr>
          <w:color w:val="000000"/>
        </w:rPr>
        <w:t xml:space="preserve">Control conditions included: </w:t>
      </w:r>
      <w:proofErr w:type="spellStart"/>
      <w:r w:rsidR="00BF6DF2" w:rsidRPr="00E635F2">
        <w:rPr>
          <w:i/>
          <w:iCs/>
          <w:color w:val="000000"/>
        </w:rPr>
        <w:t>i</w:t>
      </w:r>
      <w:proofErr w:type="spellEnd"/>
      <w:r w:rsidR="00BF6DF2" w:rsidRPr="00E635F2">
        <w:rPr>
          <w:i/>
          <w:iCs/>
          <w:color w:val="000000"/>
        </w:rPr>
        <w:t>.</w:t>
      </w:r>
      <w:r w:rsidR="00BF6DF2" w:rsidRPr="00E635F2">
        <w:rPr>
          <w:color w:val="000000"/>
        </w:rPr>
        <w:t xml:space="preserve"> </w:t>
      </w:r>
      <w:r w:rsidRPr="00E635F2">
        <w:rPr>
          <w:color w:val="000000"/>
        </w:rPr>
        <w:t>non-infected primary monocytes</w:t>
      </w:r>
      <w:r w:rsidR="00BF6DF2" w:rsidRPr="00E635F2">
        <w:rPr>
          <w:color w:val="000000"/>
        </w:rPr>
        <w:t xml:space="preserve"> labeled only with </w:t>
      </w:r>
      <w:r w:rsidR="008A0971" w:rsidRPr="00E635F2">
        <w:rPr>
          <w:color w:val="000000"/>
        </w:rPr>
        <w:t>CellTracker™ Green</w:t>
      </w:r>
      <w:r w:rsidR="00BF6DF2" w:rsidRPr="00E635F2">
        <w:rPr>
          <w:color w:val="000000"/>
        </w:rPr>
        <w:t xml:space="preserve"> (3</w:t>
      </w:r>
      <w:r w:rsidR="008C4A23">
        <w:rPr>
          <w:color w:val="000000" w:themeColor="text1"/>
        </w:rPr>
        <w:t>x</w:t>
      </w:r>
      <w:r w:rsidR="00BF6DF2" w:rsidRPr="00E635F2">
        <w:rPr>
          <w:color w:val="000000"/>
        </w:rPr>
        <w:t xml:space="preserve">10⁵ cells per device), and </w:t>
      </w:r>
      <w:r w:rsidR="00BF6DF2" w:rsidRPr="00E635F2">
        <w:rPr>
          <w:i/>
          <w:iCs/>
          <w:color w:val="000000"/>
        </w:rPr>
        <w:t>ii.</w:t>
      </w:r>
      <w:r w:rsidR="00BF6DF2" w:rsidRPr="00E635F2">
        <w:rPr>
          <w:color w:val="000000"/>
        </w:rPr>
        <w:t xml:space="preserve"> </w:t>
      </w:r>
      <w:r w:rsidRPr="00E635F2">
        <w:rPr>
          <w:color w:val="000000"/>
        </w:rPr>
        <w:t>free oHSV-1</w:t>
      </w:r>
      <w:r w:rsidR="002D561D" w:rsidRPr="00E635F2">
        <w:rPr>
          <w:color w:val="000000"/>
        </w:rPr>
        <w:t>-</w:t>
      </w:r>
      <w:r w:rsidRPr="00E635F2">
        <w:rPr>
          <w:color w:val="000000"/>
        </w:rPr>
        <w:t>mCherry</w:t>
      </w:r>
      <w:r w:rsidR="00854337" w:rsidRPr="00E635F2">
        <w:rPr>
          <w:color w:val="000000"/>
        </w:rPr>
        <w:t>, both following the same perfusion protocol</w:t>
      </w:r>
      <w:r w:rsidRPr="00E635F2">
        <w:rPr>
          <w:color w:val="000000"/>
        </w:rPr>
        <w:t xml:space="preserve">. </w:t>
      </w:r>
    </w:p>
    <w:p w14:paraId="5504E38D" w14:textId="76B2A5B3" w:rsidR="001735DE" w:rsidRPr="00E635F2" w:rsidRDefault="003D595D" w:rsidP="001735DE">
      <w:pPr>
        <w:pBdr>
          <w:top w:val="nil"/>
          <w:left w:val="nil"/>
          <w:bottom w:val="nil"/>
          <w:right w:val="nil"/>
          <w:between w:val="nil"/>
        </w:pBdr>
        <w:spacing w:before="280" w:after="280" w:line="276" w:lineRule="auto"/>
        <w:jc w:val="both"/>
        <w:rPr>
          <w:color w:val="000000"/>
        </w:rPr>
      </w:pPr>
      <w:r w:rsidRPr="00E635F2">
        <w:rPr>
          <w:i/>
          <w:color w:val="000000"/>
        </w:rPr>
        <w:t>Experiments on antibody neutralization in static and BBB-on-chip conditions using infected primary monocytes</w:t>
      </w:r>
      <w:r w:rsidRPr="00E635F2">
        <w:rPr>
          <w:color w:val="000000"/>
        </w:rPr>
        <w:t xml:space="preserve">: </w:t>
      </w:r>
      <w:r w:rsidR="00F93666" w:rsidRPr="00E635F2">
        <w:rPr>
          <w:color w:val="000000"/>
        </w:rPr>
        <w:t>Foll</w:t>
      </w:r>
      <w:r w:rsidR="00253AF6" w:rsidRPr="00E635F2">
        <w:rPr>
          <w:color w:val="000000"/>
        </w:rPr>
        <w:t>o</w:t>
      </w:r>
      <w:r w:rsidR="00F93666" w:rsidRPr="00E635F2">
        <w:rPr>
          <w:color w:val="000000"/>
        </w:rPr>
        <w:t>wing</w:t>
      </w:r>
      <w:r w:rsidRPr="00E635F2">
        <w:rPr>
          <w:color w:val="000000"/>
        </w:rPr>
        <w:t xml:space="preserve"> infection, human primary monocytes stained with </w:t>
      </w:r>
      <w:r w:rsidR="00BB3CC1" w:rsidRPr="00E635F2">
        <w:rPr>
          <w:color w:val="000000"/>
        </w:rPr>
        <w:t>CellTracker™ Green</w:t>
      </w:r>
      <w:r w:rsidRPr="00E635F2">
        <w:rPr>
          <w:color w:val="000000"/>
        </w:rPr>
        <w:t xml:space="preserve"> </w:t>
      </w:r>
      <w:r w:rsidR="00F93666" w:rsidRPr="00E635F2">
        <w:rPr>
          <w:color w:val="000000"/>
        </w:rPr>
        <w:t>were</w:t>
      </w:r>
      <w:r w:rsidRPr="00E635F2">
        <w:rPr>
          <w:color w:val="000000"/>
        </w:rPr>
        <w:t xml:space="preserve"> resuspended in DMEM </w:t>
      </w:r>
      <w:r w:rsidR="00F93666" w:rsidRPr="00E635F2">
        <w:rPr>
          <w:color w:val="000000"/>
        </w:rPr>
        <w:t xml:space="preserve">supplemented </w:t>
      </w:r>
      <w:r w:rsidRPr="00E635F2">
        <w:rPr>
          <w:color w:val="000000"/>
        </w:rPr>
        <w:t xml:space="preserve">with 10% FBS </w:t>
      </w:r>
      <w:r w:rsidR="00F93666" w:rsidRPr="00E635F2">
        <w:rPr>
          <w:color w:val="000000"/>
        </w:rPr>
        <w:t>and</w:t>
      </w:r>
      <w:r w:rsidR="00A4286F" w:rsidRPr="00E635F2">
        <w:rPr>
          <w:color w:val="000000"/>
        </w:rPr>
        <w:t xml:space="preserve"> a</w:t>
      </w:r>
      <w:r w:rsidRPr="00E635F2">
        <w:rPr>
          <w:color w:val="000000"/>
        </w:rPr>
        <w:t xml:space="preserve"> 1:8 dilution of Human Gamma Globulin Control </w:t>
      </w:r>
      <w:r w:rsidR="00A4286F" w:rsidRPr="00E635F2">
        <w:rPr>
          <w:color w:val="000000"/>
        </w:rPr>
        <w:t>antibodies (IgG, Invitrogen</w:t>
      </w:r>
      <w:r w:rsidR="00970900" w:rsidRPr="00E635F2">
        <w:rPr>
          <w:color w:val="000000"/>
        </w:rPr>
        <w:t>, Thermo Fisher Scientific</w:t>
      </w:r>
      <w:r w:rsidR="00A4286F" w:rsidRPr="00E635F2">
        <w:rPr>
          <w:color w:val="000000"/>
        </w:rPr>
        <w:t xml:space="preserve">). </w:t>
      </w:r>
      <w:r w:rsidR="00F93666" w:rsidRPr="00E635F2">
        <w:rPr>
          <w:color w:val="000000"/>
        </w:rPr>
        <w:t>A total of 5</w:t>
      </w:r>
      <w:r w:rsidR="00970900" w:rsidRPr="00E635F2">
        <w:rPr>
          <w:color w:val="000000"/>
        </w:rPr>
        <w:t xml:space="preserve"> </w:t>
      </w:r>
      <w:r w:rsidR="00F93666" w:rsidRPr="00E635F2">
        <w:rPr>
          <w:color w:val="000000"/>
        </w:rPr>
        <w:t>×</w:t>
      </w:r>
      <w:r w:rsidR="00970900" w:rsidRPr="00E635F2">
        <w:rPr>
          <w:color w:val="000000"/>
        </w:rPr>
        <w:t xml:space="preserve"> </w:t>
      </w:r>
      <w:r w:rsidR="00F93666" w:rsidRPr="00E635F2">
        <w:rPr>
          <w:color w:val="000000"/>
        </w:rPr>
        <w:t xml:space="preserve">10³ monocytes were added to each </w:t>
      </w:r>
      <w:r w:rsidR="00097940">
        <w:rPr>
          <w:color w:val="000000"/>
        </w:rPr>
        <w:t>U87 GBM</w:t>
      </w:r>
      <w:r w:rsidR="00F93666" w:rsidRPr="00E635F2">
        <w:rPr>
          <w:color w:val="000000"/>
        </w:rPr>
        <w:t xml:space="preserve"> spheroid, which was resuspended in 100 </w:t>
      </w:r>
      <w:proofErr w:type="spellStart"/>
      <w:r w:rsidR="00F93666" w:rsidRPr="00E635F2">
        <w:rPr>
          <w:color w:val="000000"/>
        </w:rPr>
        <w:t>μL</w:t>
      </w:r>
      <w:proofErr w:type="spellEnd"/>
      <w:r w:rsidR="00F93666" w:rsidRPr="00E635F2">
        <w:rPr>
          <w:color w:val="000000"/>
        </w:rPr>
        <w:t xml:space="preserve"> of DMEM containing 10% FBS and 1:8 IgG. </w:t>
      </w:r>
      <w:sdt>
        <w:sdtPr>
          <w:tag w:val="goog_rdk_31"/>
          <w:id w:val="1241366664"/>
        </w:sdtPr>
        <w:sdtContent/>
      </w:sdt>
      <w:r w:rsidR="008F7220" w:rsidRPr="00E635F2">
        <w:rPr>
          <w:color w:val="000000"/>
        </w:rPr>
        <w:t>In parallel</w:t>
      </w:r>
      <w:r w:rsidRPr="00E635F2">
        <w:rPr>
          <w:color w:val="000000"/>
        </w:rPr>
        <w:t>, U87</w:t>
      </w:r>
      <w:r w:rsidR="00222A2E" w:rsidRPr="00E635F2">
        <w:rPr>
          <w:color w:val="000000"/>
        </w:rPr>
        <w:t>-MG</w:t>
      </w:r>
      <w:r w:rsidRPr="00E635F2">
        <w:rPr>
          <w:color w:val="000000"/>
        </w:rPr>
        <w:t xml:space="preserve"> spheroids </w:t>
      </w:r>
      <w:r w:rsidR="008F7220" w:rsidRPr="00E635F2">
        <w:rPr>
          <w:color w:val="000000"/>
        </w:rPr>
        <w:t>were directly</w:t>
      </w:r>
      <w:r w:rsidRPr="00E635F2">
        <w:rPr>
          <w:color w:val="000000"/>
        </w:rPr>
        <w:t xml:space="preserve"> infected with </w:t>
      </w:r>
      <w:r w:rsidR="008F7220" w:rsidRPr="00E635F2">
        <w:rPr>
          <w:color w:val="000000"/>
        </w:rPr>
        <w:t xml:space="preserve">free </w:t>
      </w:r>
      <w:r w:rsidRPr="00E635F2">
        <w:rPr>
          <w:color w:val="000000"/>
        </w:rPr>
        <w:t>oHSV-1</w:t>
      </w:r>
      <w:r w:rsidR="002D561D" w:rsidRPr="00E635F2">
        <w:rPr>
          <w:color w:val="000000"/>
        </w:rPr>
        <w:t>-</w:t>
      </w:r>
      <w:r w:rsidRPr="00E635F2">
        <w:rPr>
          <w:color w:val="000000"/>
        </w:rPr>
        <w:t>mCherry</w:t>
      </w:r>
      <w:r w:rsidR="008A0971" w:rsidRPr="00E635F2">
        <w:rPr>
          <w:color w:val="000000"/>
        </w:rPr>
        <w:t>, using the same viral load</w:t>
      </w:r>
      <w:r w:rsidR="00283861">
        <w:rPr>
          <w:color w:val="000000"/>
        </w:rPr>
        <w:t xml:space="preserve"> </w:t>
      </w:r>
      <w:r w:rsidR="008F7220" w:rsidRPr="00E635F2">
        <w:rPr>
          <w:color w:val="000000"/>
        </w:rPr>
        <w:t>used</w:t>
      </w:r>
      <w:r w:rsidR="000E6004" w:rsidRPr="00E635F2">
        <w:rPr>
          <w:color w:val="000000"/>
        </w:rPr>
        <w:t xml:space="preserve"> </w:t>
      </w:r>
      <w:r w:rsidRPr="00E635F2">
        <w:rPr>
          <w:color w:val="000000"/>
        </w:rPr>
        <w:t>for infecting monocytes</w:t>
      </w:r>
      <w:r w:rsidR="008F7220" w:rsidRPr="00E635F2">
        <w:rPr>
          <w:color w:val="000000"/>
        </w:rPr>
        <w:t>,</w:t>
      </w:r>
      <w:r w:rsidRPr="00E635F2">
        <w:rPr>
          <w:color w:val="000000"/>
        </w:rPr>
        <w:t xml:space="preserve"> </w:t>
      </w:r>
      <w:r w:rsidR="00A4286F" w:rsidRPr="00E635F2">
        <w:rPr>
          <w:color w:val="000000"/>
        </w:rPr>
        <w:t xml:space="preserve">in the presence of </w:t>
      </w:r>
      <w:r w:rsidRPr="00E635F2">
        <w:rPr>
          <w:color w:val="000000"/>
        </w:rPr>
        <w:t xml:space="preserve">1:8 </w:t>
      </w:r>
      <w:r w:rsidR="008F7220" w:rsidRPr="00E635F2">
        <w:rPr>
          <w:color w:val="000000"/>
        </w:rPr>
        <w:t xml:space="preserve">diluted </w:t>
      </w:r>
      <w:r w:rsidRPr="00E635F2">
        <w:rPr>
          <w:color w:val="000000"/>
        </w:rPr>
        <w:t xml:space="preserve">antibodies. </w:t>
      </w:r>
      <w:r w:rsidR="00A4286F" w:rsidRPr="00E635F2">
        <w:rPr>
          <w:color w:val="000000"/>
        </w:rPr>
        <w:t>V</w:t>
      </w:r>
      <w:r w:rsidRPr="00E635F2">
        <w:rPr>
          <w:color w:val="000000"/>
        </w:rPr>
        <w:t xml:space="preserve">iral replication and spread within the tumor spheroids </w:t>
      </w:r>
      <w:r w:rsidR="008F7220" w:rsidRPr="00E635F2">
        <w:rPr>
          <w:color w:val="000000"/>
        </w:rPr>
        <w:t>were monitored</w:t>
      </w:r>
      <w:r w:rsidRPr="00E635F2">
        <w:rPr>
          <w:color w:val="000000"/>
        </w:rPr>
        <w:t xml:space="preserve"> </w:t>
      </w:r>
      <w:r w:rsidR="008F7220" w:rsidRPr="00E635F2">
        <w:rPr>
          <w:color w:val="000000"/>
        </w:rPr>
        <w:t>by</w:t>
      </w:r>
      <w:r w:rsidRPr="00E635F2">
        <w:rPr>
          <w:color w:val="000000"/>
        </w:rPr>
        <w:t xml:space="preserve"> confocal microscopy. Control spheroids</w:t>
      </w:r>
      <w:r w:rsidR="008F7220" w:rsidRPr="00E635F2">
        <w:rPr>
          <w:color w:val="000000"/>
        </w:rPr>
        <w:t>,</w:t>
      </w:r>
      <w:r w:rsidRPr="00E635F2">
        <w:rPr>
          <w:color w:val="000000"/>
        </w:rPr>
        <w:t xml:space="preserve"> treated with either oHSV-1</w:t>
      </w:r>
      <w:r w:rsidR="002D561D" w:rsidRPr="00E635F2">
        <w:rPr>
          <w:color w:val="000000"/>
        </w:rPr>
        <w:t>-</w:t>
      </w:r>
      <w:r w:rsidRPr="00E635F2">
        <w:rPr>
          <w:color w:val="000000"/>
        </w:rPr>
        <w:t xml:space="preserve">mCherry-infected primary monocytes or free virus, </w:t>
      </w:r>
      <w:r w:rsidR="008F7220" w:rsidRPr="00E635F2">
        <w:rPr>
          <w:color w:val="000000"/>
        </w:rPr>
        <w:t>were</w:t>
      </w:r>
      <w:r w:rsidRPr="00E635F2">
        <w:rPr>
          <w:color w:val="000000"/>
        </w:rPr>
        <w:t xml:space="preserve"> maintained in DMEM with 10% FBS </w:t>
      </w:r>
      <w:r w:rsidR="008F7220" w:rsidRPr="00E635F2">
        <w:rPr>
          <w:color w:val="000000"/>
        </w:rPr>
        <w:t>in the absence of</w:t>
      </w:r>
      <w:r w:rsidRPr="00E635F2">
        <w:rPr>
          <w:color w:val="000000"/>
        </w:rPr>
        <w:t xml:space="preserve"> immunoglobulins. For BBB-on-chip studies, </w:t>
      </w:r>
      <w:r w:rsidR="00F40FC2" w:rsidRPr="00E635F2">
        <w:rPr>
          <w:color w:val="000000"/>
        </w:rPr>
        <w:t>infected</w:t>
      </w:r>
      <w:r w:rsidRPr="00E635F2">
        <w:rPr>
          <w:color w:val="000000"/>
        </w:rPr>
        <w:t xml:space="preserve"> monocytes </w:t>
      </w:r>
      <w:r w:rsidR="00F40FC2" w:rsidRPr="00E635F2">
        <w:rPr>
          <w:color w:val="000000"/>
        </w:rPr>
        <w:t>were</w:t>
      </w:r>
      <w:r w:rsidRPr="00E635F2">
        <w:rPr>
          <w:color w:val="000000"/>
        </w:rPr>
        <w:t xml:space="preserve"> resuspended in 2 mL of DMEM </w:t>
      </w:r>
      <w:r w:rsidR="008845D9" w:rsidRPr="00E635F2">
        <w:rPr>
          <w:color w:val="000000"/>
        </w:rPr>
        <w:t xml:space="preserve">containing </w:t>
      </w:r>
      <w:r w:rsidRPr="00E635F2">
        <w:rPr>
          <w:color w:val="000000"/>
        </w:rPr>
        <w:t xml:space="preserve">10% FBS </w:t>
      </w:r>
      <w:r w:rsidR="00F40FC2" w:rsidRPr="00E635F2">
        <w:rPr>
          <w:color w:val="000000"/>
        </w:rPr>
        <w:t>and</w:t>
      </w:r>
      <w:r w:rsidRPr="00E635F2">
        <w:rPr>
          <w:color w:val="000000"/>
        </w:rPr>
        <w:t xml:space="preserve"> a 1:8 dilution of human IgG</w:t>
      </w:r>
      <w:r w:rsidR="008845D9" w:rsidRPr="00E635F2">
        <w:rPr>
          <w:color w:val="000000"/>
        </w:rPr>
        <w:t xml:space="preserve">. The cell suspension was then </w:t>
      </w:r>
      <w:r w:rsidRPr="00E635F2">
        <w:rPr>
          <w:color w:val="000000"/>
        </w:rPr>
        <w:t>perfused in</w:t>
      </w:r>
      <w:r w:rsidR="008845D9" w:rsidRPr="00E635F2">
        <w:rPr>
          <w:color w:val="000000"/>
        </w:rPr>
        <w:t>to</w:t>
      </w:r>
      <w:r w:rsidRPr="00E635F2">
        <w:rPr>
          <w:color w:val="000000"/>
        </w:rPr>
        <w:t xml:space="preserve"> the device through the blood</w:t>
      </w:r>
      <w:r w:rsidR="008845D9" w:rsidRPr="00E635F2">
        <w:rPr>
          <w:color w:val="000000"/>
        </w:rPr>
        <w:t>-</w:t>
      </w:r>
      <w:r w:rsidRPr="00E635F2">
        <w:rPr>
          <w:color w:val="000000"/>
        </w:rPr>
        <w:t>side</w:t>
      </w:r>
      <w:r w:rsidR="008845D9" w:rsidRPr="00E635F2">
        <w:rPr>
          <w:color w:val="000000"/>
        </w:rPr>
        <w:t xml:space="preserve"> inlet</w:t>
      </w:r>
      <w:r w:rsidRPr="00E635F2">
        <w:rPr>
          <w:color w:val="000000"/>
        </w:rPr>
        <w:t xml:space="preserve">. </w:t>
      </w:r>
      <w:r w:rsidR="00E80B73" w:rsidRPr="00E635F2">
        <w:rPr>
          <w:color w:val="000000"/>
        </w:rPr>
        <w:t>S</w:t>
      </w:r>
      <w:r w:rsidRPr="00E635F2">
        <w:rPr>
          <w:color w:val="000000"/>
        </w:rPr>
        <w:t xml:space="preserve">pheroids </w:t>
      </w:r>
      <w:r w:rsidR="00E80B73" w:rsidRPr="00E635F2">
        <w:rPr>
          <w:color w:val="000000"/>
        </w:rPr>
        <w:t>within</w:t>
      </w:r>
      <w:r w:rsidRPr="00E635F2">
        <w:rPr>
          <w:color w:val="000000"/>
        </w:rPr>
        <w:t xml:space="preserve"> the BBB-on-chip </w:t>
      </w:r>
      <w:r w:rsidR="00192179" w:rsidRPr="00E635F2">
        <w:rPr>
          <w:color w:val="000000"/>
        </w:rPr>
        <w:t>were monitored over</w:t>
      </w:r>
      <w:r w:rsidRPr="00E635F2">
        <w:rPr>
          <w:color w:val="000000"/>
        </w:rPr>
        <w:t xml:space="preserve"> several days</w:t>
      </w:r>
      <w:r w:rsidR="00192179" w:rsidRPr="00E635F2">
        <w:rPr>
          <w:color w:val="000000"/>
        </w:rPr>
        <w:t xml:space="preserve"> using confocal microscopy </w:t>
      </w:r>
      <w:r w:rsidRPr="00E635F2">
        <w:rPr>
          <w:color w:val="000000"/>
        </w:rPr>
        <w:t xml:space="preserve">to assess differences in viral propagation in the presence of </w:t>
      </w:r>
      <w:r w:rsidR="00192179" w:rsidRPr="00E635F2">
        <w:rPr>
          <w:color w:val="000000"/>
        </w:rPr>
        <w:t xml:space="preserve">neutralizing </w:t>
      </w:r>
      <w:r w:rsidRPr="00E635F2">
        <w:rPr>
          <w:color w:val="000000"/>
        </w:rPr>
        <w:t xml:space="preserve">antibodies, </w:t>
      </w:r>
      <w:r w:rsidR="00192179" w:rsidRPr="00E635F2">
        <w:rPr>
          <w:color w:val="000000"/>
        </w:rPr>
        <w:t>based on the delivery strategy of the oncolytic virus</w:t>
      </w:r>
      <w:r w:rsidRPr="00E635F2">
        <w:rPr>
          <w:color w:val="000000"/>
        </w:rPr>
        <w:t>.</w:t>
      </w:r>
    </w:p>
    <w:p w14:paraId="0000006C" w14:textId="79B334C7" w:rsidR="00C314E0" w:rsidRPr="00E635F2" w:rsidRDefault="003D595D">
      <w:pPr>
        <w:pBdr>
          <w:top w:val="nil"/>
          <w:left w:val="nil"/>
          <w:bottom w:val="nil"/>
          <w:right w:val="nil"/>
          <w:between w:val="nil"/>
        </w:pBdr>
        <w:spacing w:before="280" w:after="280" w:line="276" w:lineRule="auto"/>
        <w:jc w:val="both"/>
        <w:rPr>
          <w:color w:val="000000"/>
        </w:rPr>
      </w:pPr>
      <w:r w:rsidRPr="00E635F2">
        <w:rPr>
          <w:i/>
          <w:color w:val="000000"/>
        </w:rPr>
        <w:t>Statistical Analysis</w:t>
      </w:r>
      <w:r w:rsidRPr="00E635F2">
        <w:rPr>
          <w:color w:val="000000"/>
        </w:rPr>
        <w:t xml:space="preserve">: Graphs </w:t>
      </w:r>
      <w:r w:rsidR="00E07F90" w:rsidRPr="00E635F2">
        <w:rPr>
          <w:color w:val="000000"/>
        </w:rPr>
        <w:t>were</w:t>
      </w:r>
      <w:r w:rsidRPr="00E635F2">
        <w:rPr>
          <w:color w:val="000000"/>
        </w:rPr>
        <w:t xml:space="preserve"> compiled using </w:t>
      </w:r>
      <w:proofErr w:type="spellStart"/>
      <w:r w:rsidRPr="00E635F2">
        <w:rPr>
          <w:color w:val="000000"/>
        </w:rPr>
        <w:t>OriginPro</w:t>
      </w:r>
      <w:proofErr w:type="spellEnd"/>
      <w:r w:rsidRPr="00E635F2">
        <w:rPr>
          <w:color w:val="000000"/>
          <w:vertAlign w:val="superscript"/>
        </w:rPr>
        <w:t>®</w:t>
      </w:r>
      <w:r w:rsidRPr="00E635F2">
        <w:rPr>
          <w:color w:val="000000"/>
        </w:rPr>
        <w:t xml:space="preserve"> software</w:t>
      </w:r>
      <w:r w:rsidR="00E07F90" w:rsidRPr="00E635F2">
        <w:rPr>
          <w:color w:val="000000"/>
        </w:rPr>
        <w:t>,</w:t>
      </w:r>
      <w:r w:rsidRPr="00E635F2">
        <w:rPr>
          <w:color w:val="000000"/>
        </w:rPr>
        <w:t xml:space="preserve"> and statistical analyses </w:t>
      </w:r>
      <w:r w:rsidR="00E07F90" w:rsidRPr="00E635F2">
        <w:rPr>
          <w:color w:val="000000"/>
        </w:rPr>
        <w:t xml:space="preserve">were </w:t>
      </w:r>
      <w:r w:rsidRPr="00E635F2">
        <w:rPr>
          <w:color w:val="000000"/>
        </w:rPr>
        <w:t xml:space="preserve">performed using GraphPad Prism. All </w:t>
      </w:r>
      <w:r w:rsidR="00E07F90" w:rsidRPr="00E635F2">
        <w:rPr>
          <w:color w:val="000000"/>
        </w:rPr>
        <w:t xml:space="preserve">graphical </w:t>
      </w:r>
      <w:r w:rsidRPr="00E635F2">
        <w:rPr>
          <w:color w:val="000000"/>
        </w:rPr>
        <w:t xml:space="preserve">data </w:t>
      </w:r>
      <w:r w:rsidR="00E07F90" w:rsidRPr="00E635F2">
        <w:rPr>
          <w:color w:val="000000"/>
        </w:rPr>
        <w:t>represent the mean ± standard error of the mean (SEM) from at least three independent experiments</w:t>
      </w:r>
      <w:r w:rsidRPr="00E635F2">
        <w:rPr>
          <w:color w:val="000000"/>
        </w:rPr>
        <w:t xml:space="preserve">. </w:t>
      </w:r>
      <w:r w:rsidR="00E07F90" w:rsidRPr="00E635F2">
        <w:rPr>
          <w:color w:val="000000"/>
        </w:rPr>
        <w:t xml:space="preserve">Comparisons between multiple groups were conducted using one-way ANOVA, while comparisons between two groups were performed using </w:t>
      </w:r>
      <w:r w:rsidR="00E07F90" w:rsidRPr="00E635F2">
        <w:rPr>
          <w:color w:val="000000"/>
        </w:rPr>
        <w:lastRenderedPageBreak/>
        <w:t>the Student’s t-test. Statistical significance is indicated by asterisks, denoting differences between treated and control groups unless otherwise specified</w:t>
      </w:r>
      <w:r w:rsidRPr="00E635F2">
        <w:rPr>
          <w:color w:val="000000"/>
        </w:rPr>
        <w:t xml:space="preserve">. * p &lt; 0.05, ** p &lt; 0.01, *** p &lt; 0.001, **** p &lt; 0.0001.  </w:t>
      </w:r>
    </w:p>
    <w:p w14:paraId="0000006E" w14:textId="77777777" w:rsidR="00C314E0" w:rsidRPr="00E635F2" w:rsidRDefault="003D595D">
      <w:pPr>
        <w:pBdr>
          <w:top w:val="nil"/>
          <w:left w:val="nil"/>
          <w:bottom w:val="nil"/>
          <w:right w:val="nil"/>
          <w:between w:val="nil"/>
        </w:pBdr>
        <w:spacing w:line="360" w:lineRule="auto"/>
        <w:rPr>
          <w:b/>
          <w:color w:val="000000"/>
        </w:rPr>
      </w:pPr>
      <w:r w:rsidRPr="00E635F2">
        <w:rPr>
          <w:b/>
          <w:color w:val="000000"/>
        </w:rPr>
        <w:t xml:space="preserve">Supporting Information </w:t>
      </w:r>
    </w:p>
    <w:p w14:paraId="0000006F" w14:textId="77777777" w:rsidR="00C314E0" w:rsidRPr="00E635F2" w:rsidRDefault="00C314E0">
      <w:pPr>
        <w:pBdr>
          <w:top w:val="nil"/>
          <w:left w:val="nil"/>
          <w:bottom w:val="nil"/>
          <w:right w:val="nil"/>
          <w:between w:val="nil"/>
        </w:pBdr>
        <w:spacing w:line="360" w:lineRule="auto"/>
        <w:rPr>
          <w:b/>
          <w:color w:val="000000"/>
        </w:rPr>
      </w:pPr>
    </w:p>
    <w:p w14:paraId="00000070" w14:textId="77777777" w:rsidR="00C314E0" w:rsidRPr="00E635F2" w:rsidRDefault="00C314E0">
      <w:pPr>
        <w:pBdr>
          <w:top w:val="nil"/>
          <w:left w:val="nil"/>
          <w:bottom w:val="nil"/>
          <w:right w:val="nil"/>
          <w:between w:val="nil"/>
        </w:pBdr>
        <w:spacing w:line="360" w:lineRule="auto"/>
        <w:rPr>
          <w:b/>
          <w:color w:val="000000"/>
        </w:rPr>
      </w:pPr>
    </w:p>
    <w:p w14:paraId="00000071" w14:textId="77777777" w:rsidR="00C314E0" w:rsidRPr="00E635F2" w:rsidRDefault="003D595D">
      <w:pPr>
        <w:pBdr>
          <w:top w:val="nil"/>
          <w:left w:val="nil"/>
          <w:bottom w:val="nil"/>
          <w:right w:val="nil"/>
          <w:between w:val="nil"/>
        </w:pBdr>
        <w:spacing w:line="360" w:lineRule="auto"/>
        <w:rPr>
          <w:b/>
          <w:color w:val="000000"/>
        </w:rPr>
      </w:pPr>
      <w:r w:rsidRPr="00E635F2">
        <w:rPr>
          <w:b/>
          <w:color w:val="000000"/>
        </w:rPr>
        <w:t xml:space="preserve">Acknowledgements </w:t>
      </w:r>
    </w:p>
    <w:p w14:paraId="5AD6A4CF" w14:textId="77777777" w:rsidR="001C73FF" w:rsidRPr="00E635F2" w:rsidRDefault="001C73FF" w:rsidP="001C73FF">
      <w:pPr>
        <w:pBdr>
          <w:top w:val="nil"/>
          <w:left w:val="nil"/>
          <w:bottom w:val="nil"/>
          <w:right w:val="nil"/>
          <w:between w:val="nil"/>
        </w:pBdr>
        <w:spacing w:line="360" w:lineRule="auto"/>
        <w:jc w:val="both"/>
        <w:rPr>
          <w:color w:val="000000"/>
        </w:rPr>
      </w:pPr>
      <w:r w:rsidRPr="00E635F2">
        <w:rPr>
          <w:color w:val="000000"/>
        </w:rPr>
        <w:t>This research project has received funding from the European Commission, ARACHNID project (ERC-2023-POC, id: 55008, CIME_UERI24_01) to E.C</w:t>
      </w:r>
      <w:r w:rsidRPr="001C73FF">
        <w:rPr>
          <w:color w:val="000000"/>
        </w:rPr>
        <w:t>. and INFRAPLUS (Proposal number: 101131669, Proposal title: Enhancing and Evolving INFRAFRONTIER Disease Modelling Capacity to Enable Breakthrough Research)</w:t>
      </w:r>
      <w:r>
        <w:rPr>
          <w:color w:val="000000"/>
        </w:rPr>
        <w:t xml:space="preserve"> </w:t>
      </w:r>
      <w:r w:rsidRPr="00E635F2">
        <w:rPr>
          <w:color w:val="000000"/>
        </w:rPr>
        <w:t xml:space="preserve">to F.M.; Fondazione Giovanni </w:t>
      </w:r>
      <w:proofErr w:type="spellStart"/>
      <w:r w:rsidRPr="00E635F2">
        <w:rPr>
          <w:color w:val="000000"/>
        </w:rPr>
        <w:t>Celeghin</w:t>
      </w:r>
      <w:proofErr w:type="spellEnd"/>
      <w:r w:rsidRPr="00E635F2">
        <w:rPr>
          <w:color w:val="000000"/>
        </w:rPr>
        <w:t xml:space="preserve"> </w:t>
      </w:r>
      <w:proofErr w:type="spellStart"/>
      <w:r w:rsidRPr="00E635F2">
        <w:rPr>
          <w:color w:val="000000"/>
        </w:rPr>
        <w:t>Contro</w:t>
      </w:r>
      <w:proofErr w:type="spellEnd"/>
      <w:r w:rsidRPr="00E635F2">
        <w:rPr>
          <w:color w:val="000000"/>
        </w:rPr>
        <w:t xml:space="preserve"> I </w:t>
      </w:r>
      <w:proofErr w:type="spellStart"/>
      <w:r w:rsidRPr="00E635F2">
        <w:rPr>
          <w:color w:val="000000"/>
        </w:rPr>
        <w:t>Tumori</w:t>
      </w:r>
      <w:proofErr w:type="spellEnd"/>
      <w:r w:rsidRPr="00E635F2">
        <w:rPr>
          <w:color w:val="000000"/>
        </w:rPr>
        <w:t xml:space="preserve"> </w:t>
      </w:r>
      <w:proofErr w:type="spellStart"/>
      <w:r w:rsidRPr="00E635F2">
        <w:rPr>
          <w:color w:val="000000"/>
        </w:rPr>
        <w:t>Cerebrali</w:t>
      </w:r>
      <w:proofErr w:type="spellEnd"/>
      <w:r w:rsidRPr="00E635F2">
        <w:rPr>
          <w:color w:val="000000"/>
        </w:rPr>
        <w:t xml:space="preserve"> to A.C.; </w:t>
      </w:r>
      <w:proofErr w:type="spellStart"/>
      <w:r w:rsidRPr="00E635F2">
        <w:rPr>
          <w:color w:val="000000"/>
        </w:rPr>
        <w:t>Associazione</w:t>
      </w:r>
      <w:proofErr w:type="spellEnd"/>
      <w:r w:rsidRPr="00E635F2">
        <w:rPr>
          <w:color w:val="000000"/>
        </w:rPr>
        <w:t xml:space="preserve"> </w:t>
      </w:r>
      <w:proofErr w:type="spellStart"/>
      <w:r w:rsidRPr="00E635F2">
        <w:rPr>
          <w:color w:val="000000"/>
        </w:rPr>
        <w:t>Italiana</w:t>
      </w:r>
      <w:proofErr w:type="spellEnd"/>
      <w:r w:rsidRPr="00E635F2">
        <w:rPr>
          <w:color w:val="000000"/>
        </w:rPr>
        <w:t xml:space="preserve"> per la </w:t>
      </w:r>
      <w:proofErr w:type="spellStart"/>
      <w:r w:rsidRPr="00E635F2">
        <w:rPr>
          <w:color w:val="000000"/>
        </w:rPr>
        <w:t>Ricerca</w:t>
      </w:r>
      <w:proofErr w:type="spellEnd"/>
      <w:r w:rsidRPr="00E635F2">
        <w:rPr>
          <w:color w:val="000000"/>
        </w:rPr>
        <w:t xml:space="preserve"> </w:t>
      </w:r>
      <w:proofErr w:type="spellStart"/>
      <w:r w:rsidRPr="00E635F2">
        <w:rPr>
          <w:color w:val="000000"/>
        </w:rPr>
        <w:t>sul</w:t>
      </w:r>
      <w:proofErr w:type="spellEnd"/>
      <w:r w:rsidRPr="00E635F2">
        <w:rPr>
          <w:color w:val="000000"/>
        </w:rPr>
        <w:t xml:space="preserve"> Cancro (AIRC IG 27797)</w:t>
      </w:r>
      <w:r>
        <w:rPr>
          <w:color w:val="000000"/>
        </w:rPr>
        <w:t xml:space="preserve"> to F.M.</w:t>
      </w:r>
      <w:r w:rsidRPr="00E635F2">
        <w:rPr>
          <w:color w:val="000000"/>
        </w:rPr>
        <w:t>; University of Padova (</w:t>
      </w:r>
      <w:r w:rsidRPr="00E635F2">
        <w:t>PARO_FINA20_01) to C.P</w:t>
      </w:r>
      <w:r w:rsidRPr="00E635F2">
        <w:rPr>
          <w:color w:val="000000"/>
        </w:rPr>
        <w:t>.</w:t>
      </w:r>
    </w:p>
    <w:p w14:paraId="00000073" w14:textId="77777777" w:rsidR="00C314E0" w:rsidRPr="00E635F2" w:rsidRDefault="003D595D" w:rsidP="005D26B2">
      <w:pPr>
        <w:pBdr>
          <w:top w:val="nil"/>
          <w:left w:val="nil"/>
          <w:bottom w:val="nil"/>
          <w:right w:val="nil"/>
          <w:between w:val="nil"/>
        </w:pBdr>
        <w:spacing w:before="240" w:after="240" w:line="360" w:lineRule="auto"/>
        <w:rPr>
          <w:b/>
          <w:color w:val="000000"/>
        </w:rPr>
      </w:pPr>
      <w:r w:rsidRPr="00E635F2">
        <w:rPr>
          <w:b/>
          <w:color w:val="000000"/>
        </w:rPr>
        <w:t>Conflict of Interest</w:t>
      </w:r>
    </w:p>
    <w:p w14:paraId="00000074" w14:textId="77777777" w:rsidR="00C314E0" w:rsidRPr="00E635F2" w:rsidRDefault="003D595D">
      <w:pPr>
        <w:pBdr>
          <w:top w:val="nil"/>
          <w:left w:val="nil"/>
          <w:bottom w:val="nil"/>
          <w:right w:val="nil"/>
          <w:between w:val="nil"/>
        </w:pBdr>
        <w:spacing w:line="360" w:lineRule="auto"/>
        <w:rPr>
          <w:color w:val="000000"/>
        </w:rPr>
      </w:pPr>
      <w:r w:rsidRPr="00E635F2">
        <w:rPr>
          <w:color w:val="000000"/>
        </w:rPr>
        <w:t>The authors declare no conﬂict of interest.</w:t>
      </w:r>
    </w:p>
    <w:p w14:paraId="00000076" w14:textId="77777777" w:rsidR="00C314E0" w:rsidRPr="00E635F2" w:rsidRDefault="003D595D" w:rsidP="005D26B2">
      <w:pPr>
        <w:pBdr>
          <w:top w:val="nil"/>
          <w:left w:val="nil"/>
          <w:bottom w:val="nil"/>
          <w:right w:val="nil"/>
          <w:between w:val="nil"/>
        </w:pBdr>
        <w:spacing w:before="240" w:after="240" w:line="276" w:lineRule="auto"/>
        <w:rPr>
          <w:b/>
          <w:color w:val="000000"/>
        </w:rPr>
      </w:pPr>
      <w:r w:rsidRPr="00E635F2">
        <w:rPr>
          <w:b/>
          <w:color w:val="000000"/>
        </w:rPr>
        <w:t xml:space="preserve">Data Availability Statement </w:t>
      </w:r>
    </w:p>
    <w:p w14:paraId="00000079" w14:textId="346A68AD" w:rsidR="00C314E0" w:rsidRPr="00E635F2" w:rsidRDefault="004F3E73">
      <w:pPr>
        <w:pBdr>
          <w:top w:val="nil"/>
          <w:left w:val="nil"/>
          <w:bottom w:val="nil"/>
          <w:right w:val="nil"/>
          <w:between w:val="nil"/>
        </w:pBdr>
        <w:spacing w:line="276" w:lineRule="auto"/>
        <w:rPr>
          <w:bCs/>
          <w:color w:val="000000"/>
        </w:rPr>
      </w:pPr>
      <w:r w:rsidRPr="00E635F2">
        <w:rPr>
          <w:bCs/>
          <w:color w:val="000000"/>
        </w:rPr>
        <w:t xml:space="preserve">All original data are available at: </w:t>
      </w:r>
      <w:hyperlink r:id="rId16" w:history="1">
        <w:r w:rsidR="004F7E1C" w:rsidRPr="00E635F2">
          <w:rPr>
            <w:rStyle w:val="Hyperlink"/>
            <w:bCs/>
          </w:rPr>
          <w:t>https://researchdata.cab.unipd.it/id/eprint/1544</w:t>
        </w:r>
      </w:hyperlink>
    </w:p>
    <w:p w14:paraId="632A1870" w14:textId="77777777" w:rsidR="005D26B2" w:rsidRPr="00E635F2" w:rsidRDefault="005D26B2">
      <w:pPr>
        <w:pBdr>
          <w:top w:val="nil"/>
          <w:left w:val="nil"/>
          <w:bottom w:val="nil"/>
          <w:right w:val="nil"/>
          <w:between w:val="nil"/>
        </w:pBdr>
        <w:spacing w:line="276" w:lineRule="auto"/>
        <w:rPr>
          <w:color w:val="000000"/>
        </w:rPr>
      </w:pPr>
    </w:p>
    <w:p w14:paraId="0000007A" w14:textId="77777777" w:rsidR="00C314E0" w:rsidRPr="00E635F2" w:rsidRDefault="003D595D">
      <w:pPr>
        <w:pBdr>
          <w:top w:val="nil"/>
          <w:left w:val="nil"/>
          <w:bottom w:val="nil"/>
          <w:right w:val="nil"/>
          <w:between w:val="nil"/>
        </w:pBdr>
        <w:spacing w:line="276" w:lineRule="auto"/>
        <w:rPr>
          <w:b/>
          <w:color w:val="000000"/>
        </w:rPr>
      </w:pPr>
      <w:r w:rsidRPr="00E635F2">
        <w:rPr>
          <w:b/>
          <w:color w:val="000000"/>
        </w:rPr>
        <w:t>Keywords</w:t>
      </w:r>
    </w:p>
    <w:p w14:paraId="0000007B" w14:textId="2D4AAB3F" w:rsidR="00C314E0" w:rsidRPr="00E635F2" w:rsidRDefault="003D595D">
      <w:pPr>
        <w:pBdr>
          <w:top w:val="nil"/>
          <w:left w:val="nil"/>
          <w:bottom w:val="nil"/>
          <w:right w:val="nil"/>
          <w:between w:val="nil"/>
        </w:pBdr>
        <w:spacing w:line="276" w:lineRule="auto"/>
        <w:rPr>
          <w:color w:val="000000"/>
        </w:rPr>
      </w:pPr>
      <w:r w:rsidRPr="00E635F2">
        <w:rPr>
          <w:color w:val="000000"/>
        </w:rPr>
        <w:t xml:space="preserve">BBB-on-chip, Glioblastoma spheroids, monocytes, oncolytic </w:t>
      </w:r>
      <w:r w:rsidR="00B25553" w:rsidRPr="00E635F2">
        <w:rPr>
          <w:color w:val="000000"/>
        </w:rPr>
        <w:t>HSV-1</w:t>
      </w:r>
    </w:p>
    <w:p w14:paraId="24986528" w14:textId="77777777" w:rsidR="00F23AEA" w:rsidRPr="00E635F2" w:rsidRDefault="00F23AEA">
      <w:pPr>
        <w:pBdr>
          <w:top w:val="nil"/>
          <w:left w:val="nil"/>
          <w:bottom w:val="nil"/>
          <w:right w:val="nil"/>
          <w:between w:val="nil"/>
        </w:pBdr>
        <w:spacing w:line="276" w:lineRule="auto"/>
        <w:rPr>
          <w:color w:val="000000"/>
        </w:rPr>
      </w:pPr>
    </w:p>
    <w:p w14:paraId="3E0E79F5" w14:textId="27550B5C" w:rsidR="004B1E7F" w:rsidRPr="00E635F2" w:rsidRDefault="00F23AEA">
      <w:pPr>
        <w:pBdr>
          <w:top w:val="nil"/>
          <w:left w:val="nil"/>
          <w:bottom w:val="nil"/>
          <w:right w:val="nil"/>
          <w:between w:val="nil"/>
        </w:pBdr>
        <w:spacing w:line="276" w:lineRule="auto"/>
        <w:rPr>
          <w:b/>
          <w:color w:val="000000"/>
        </w:rPr>
      </w:pPr>
      <w:r w:rsidRPr="00E635F2">
        <w:rPr>
          <w:b/>
          <w:color w:val="000000"/>
        </w:rPr>
        <w:t>References</w:t>
      </w:r>
    </w:p>
    <w:p w14:paraId="04A187BD" w14:textId="77777777" w:rsidR="00F23AEA" w:rsidRPr="00E635F2" w:rsidRDefault="00F23AEA">
      <w:pPr>
        <w:pBdr>
          <w:top w:val="nil"/>
          <w:left w:val="nil"/>
          <w:bottom w:val="nil"/>
          <w:right w:val="nil"/>
          <w:between w:val="nil"/>
        </w:pBdr>
        <w:spacing w:line="276" w:lineRule="auto"/>
        <w:rPr>
          <w:b/>
          <w:color w:val="000000"/>
        </w:rPr>
      </w:pPr>
    </w:p>
    <w:p w14:paraId="53D1B8B3" w14:textId="7B4A4CA3" w:rsidR="009B653C" w:rsidRPr="00E635F2" w:rsidRDefault="002E093C" w:rsidP="009B653C">
      <w:pPr>
        <w:widowControl w:val="0"/>
        <w:autoSpaceDE w:val="0"/>
        <w:autoSpaceDN w:val="0"/>
        <w:adjustRightInd w:val="0"/>
        <w:ind w:left="640" w:hanging="640"/>
        <w:rPr>
          <w:noProof/>
        </w:rPr>
      </w:pPr>
      <w:r w:rsidRPr="00E635F2">
        <w:rPr>
          <w:color w:val="000000"/>
        </w:rPr>
        <w:fldChar w:fldCharType="begin" w:fldLock="1"/>
      </w:r>
      <w:r w:rsidRPr="00E635F2">
        <w:rPr>
          <w:color w:val="000000"/>
        </w:rPr>
        <w:instrText xml:space="preserve">ADDIN Mendeley Bibliography CSL_BIBLIOGRAPHY </w:instrText>
      </w:r>
      <w:r w:rsidRPr="00E635F2">
        <w:rPr>
          <w:color w:val="000000"/>
        </w:rPr>
        <w:fldChar w:fldCharType="separate"/>
      </w:r>
      <w:r w:rsidR="009B653C" w:rsidRPr="00E635F2">
        <w:rPr>
          <w:noProof/>
        </w:rPr>
        <w:t>[1]</w:t>
      </w:r>
      <w:r w:rsidR="009B653C" w:rsidRPr="00E635F2">
        <w:rPr>
          <w:noProof/>
        </w:rPr>
        <w:tab/>
        <w:t xml:space="preserve">B. Obermeier, R. Daneman, R. M. Ransohoff, </w:t>
      </w:r>
      <w:r w:rsidR="009B653C" w:rsidRPr="00E635F2">
        <w:rPr>
          <w:i/>
          <w:iCs/>
          <w:noProof/>
        </w:rPr>
        <w:t>Nat. Med.</w:t>
      </w:r>
      <w:r w:rsidR="009B653C" w:rsidRPr="00E635F2">
        <w:rPr>
          <w:noProof/>
        </w:rPr>
        <w:t xml:space="preserve"> </w:t>
      </w:r>
      <w:r w:rsidR="009B653C" w:rsidRPr="00E635F2">
        <w:rPr>
          <w:b/>
          <w:bCs/>
          <w:noProof/>
        </w:rPr>
        <w:t>2013</w:t>
      </w:r>
      <w:r w:rsidR="009B653C" w:rsidRPr="00E635F2">
        <w:rPr>
          <w:noProof/>
        </w:rPr>
        <w:t xml:space="preserve">, </w:t>
      </w:r>
      <w:r w:rsidR="009B653C" w:rsidRPr="00E635F2">
        <w:rPr>
          <w:i/>
          <w:iCs/>
          <w:noProof/>
        </w:rPr>
        <w:t>19</w:t>
      </w:r>
      <w:r w:rsidR="009B653C" w:rsidRPr="00E635F2">
        <w:rPr>
          <w:noProof/>
        </w:rPr>
        <w:t>, 1584.</w:t>
      </w:r>
    </w:p>
    <w:p w14:paraId="2FA79786" w14:textId="77777777" w:rsidR="009B653C" w:rsidRPr="00E635F2" w:rsidRDefault="009B653C" w:rsidP="009B653C">
      <w:pPr>
        <w:widowControl w:val="0"/>
        <w:autoSpaceDE w:val="0"/>
        <w:autoSpaceDN w:val="0"/>
        <w:adjustRightInd w:val="0"/>
        <w:ind w:left="640" w:hanging="640"/>
        <w:rPr>
          <w:noProof/>
        </w:rPr>
      </w:pPr>
      <w:r w:rsidRPr="00E635F2">
        <w:rPr>
          <w:noProof/>
        </w:rPr>
        <w:t>[2]</w:t>
      </w:r>
      <w:r w:rsidRPr="00E635F2">
        <w:rPr>
          <w:noProof/>
        </w:rPr>
        <w:tab/>
        <w:t xml:space="preserve">R. Pandit, L. Chen, J. Götz, </w:t>
      </w:r>
      <w:r w:rsidRPr="00E635F2">
        <w:rPr>
          <w:i/>
          <w:iCs/>
          <w:noProof/>
        </w:rPr>
        <w:t>Adv. Drug Deliv. Rev.</w:t>
      </w:r>
      <w:r w:rsidRPr="00E635F2">
        <w:rPr>
          <w:noProof/>
        </w:rPr>
        <w:t xml:space="preserve"> </w:t>
      </w:r>
      <w:r w:rsidRPr="00E635F2">
        <w:rPr>
          <w:b/>
          <w:bCs/>
          <w:noProof/>
        </w:rPr>
        <w:t>2020</w:t>
      </w:r>
      <w:r w:rsidRPr="00E635F2">
        <w:rPr>
          <w:noProof/>
        </w:rPr>
        <w:t xml:space="preserve">, </w:t>
      </w:r>
      <w:r w:rsidRPr="00E635F2">
        <w:rPr>
          <w:i/>
          <w:iCs/>
          <w:noProof/>
        </w:rPr>
        <w:t>165</w:t>
      </w:r>
      <w:r w:rsidRPr="00E635F2">
        <w:rPr>
          <w:noProof/>
        </w:rPr>
        <w:t>–</w:t>
      </w:r>
      <w:r w:rsidRPr="00E635F2">
        <w:rPr>
          <w:i/>
          <w:iCs/>
          <w:noProof/>
        </w:rPr>
        <w:t>166</w:t>
      </w:r>
      <w:r w:rsidRPr="00E635F2">
        <w:rPr>
          <w:noProof/>
        </w:rPr>
        <w:t>, 1.</w:t>
      </w:r>
    </w:p>
    <w:p w14:paraId="4B6CCA1E" w14:textId="77777777" w:rsidR="009B653C" w:rsidRPr="00E635F2" w:rsidRDefault="009B653C" w:rsidP="009B653C">
      <w:pPr>
        <w:widowControl w:val="0"/>
        <w:autoSpaceDE w:val="0"/>
        <w:autoSpaceDN w:val="0"/>
        <w:adjustRightInd w:val="0"/>
        <w:ind w:left="640" w:hanging="640"/>
        <w:rPr>
          <w:noProof/>
        </w:rPr>
      </w:pPr>
      <w:r w:rsidRPr="00E635F2">
        <w:rPr>
          <w:noProof/>
        </w:rPr>
        <w:t>[3]</w:t>
      </w:r>
      <w:r w:rsidRPr="00E635F2">
        <w:rPr>
          <w:noProof/>
        </w:rPr>
        <w:tab/>
        <w:t xml:space="preserve">K. H. Narsinh, E. Perez, A. F. Haddad, J. S. Young, L. Savastano, J. E. Villanueva-Meyer, E. Winkler, J. de Groot, </w:t>
      </w:r>
      <w:r w:rsidRPr="00E635F2">
        <w:rPr>
          <w:i/>
          <w:iCs/>
          <w:noProof/>
        </w:rPr>
        <w:t>Curr. Neurol. Neurosci. Rep.</w:t>
      </w:r>
      <w:r w:rsidRPr="00E635F2">
        <w:rPr>
          <w:noProof/>
        </w:rPr>
        <w:t xml:space="preserve"> </w:t>
      </w:r>
      <w:r w:rsidRPr="00E635F2">
        <w:rPr>
          <w:b/>
          <w:bCs/>
          <w:noProof/>
        </w:rPr>
        <w:t>2024</w:t>
      </w:r>
      <w:r w:rsidRPr="00E635F2">
        <w:rPr>
          <w:noProof/>
        </w:rPr>
        <w:t xml:space="preserve">, </w:t>
      </w:r>
      <w:r w:rsidRPr="00E635F2">
        <w:rPr>
          <w:i/>
          <w:iCs/>
          <w:noProof/>
        </w:rPr>
        <w:t>24</w:t>
      </w:r>
      <w:r w:rsidRPr="00E635F2">
        <w:rPr>
          <w:noProof/>
        </w:rPr>
        <w:t>, 123.</w:t>
      </w:r>
    </w:p>
    <w:p w14:paraId="2792C3F5" w14:textId="77777777" w:rsidR="009B653C" w:rsidRPr="00E635F2" w:rsidRDefault="009B653C" w:rsidP="009B653C">
      <w:pPr>
        <w:widowControl w:val="0"/>
        <w:autoSpaceDE w:val="0"/>
        <w:autoSpaceDN w:val="0"/>
        <w:adjustRightInd w:val="0"/>
        <w:ind w:left="640" w:hanging="640"/>
        <w:rPr>
          <w:noProof/>
        </w:rPr>
      </w:pPr>
      <w:r w:rsidRPr="00E635F2">
        <w:rPr>
          <w:noProof/>
        </w:rPr>
        <w:t>[4]</w:t>
      </w:r>
      <w:r w:rsidRPr="00E635F2">
        <w:rPr>
          <w:noProof/>
        </w:rPr>
        <w:tab/>
        <w:t xml:space="preserve">T. Tykocki, M. Eltayeb, </w:t>
      </w:r>
      <w:r w:rsidRPr="00E635F2">
        <w:rPr>
          <w:i/>
          <w:iCs/>
          <w:noProof/>
        </w:rPr>
        <w:t>J. Clin. Neurosci.  Off. J. Neurosurg. Soc.  Australas.</w:t>
      </w:r>
      <w:r w:rsidRPr="00E635F2">
        <w:rPr>
          <w:noProof/>
        </w:rPr>
        <w:t xml:space="preserve"> </w:t>
      </w:r>
      <w:r w:rsidRPr="00E635F2">
        <w:rPr>
          <w:b/>
          <w:bCs/>
          <w:noProof/>
        </w:rPr>
        <w:t>2018</w:t>
      </w:r>
      <w:r w:rsidRPr="00E635F2">
        <w:rPr>
          <w:noProof/>
        </w:rPr>
        <w:t xml:space="preserve">, </w:t>
      </w:r>
      <w:r w:rsidRPr="00E635F2">
        <w:rPr>
          <w:i/>
          <w:iCs/>
          <w:noProof/>
        </w:rPr>
        <w:t>54</w:t>
      </w:r>
      <w:r w:rsidRPr="00E635F2">
        <w:rPr>
          <w:noProof/>
        </w:rPr>
        <w:t>, 7.</w:t>
      </w:r>
    </w:p>
    <w:p w14:paraId="4474466D" w14:textId="77777777" w:rsidR="009B653C" w:rsidRPr="00C441C3" w:rsidRDefault="009B653C" w:rsidP="009B653C">
      <w:pPr>
        <w:widowControl w:val="0"/>
        <w:autoSpaceDE w:val="0"/>
        <w:autoSpaceDN w:val="0"/>
        <w:adjustRightInd w:val="0"/>
        <w:ind w:left="640" w:hanging="640"/>
        <w:rPr>
          <w:noProof/>
          <w:lang w:val="it-IT"/>
        </w:rPr>
      </w:pPr>
      <w:r w:rsidRPr="00E635F2">
        <w:rPr>
          <w:noProof/>
        </w:rPr>
        <w:t>[5]</w:t>
      </w:r>
      <w:r w:rsidRPr="00E635F2">
        <w:rPr>
          <w:noProof/>
        </w:rPr>
        <w:tab/>
        <w:t xml:space="preserve">H.-G. Wirsching, E. Galanis, M. Weller, </w:t>
      </w:r>
      <w:r w:rsidRPr="00E635F2">
        <w:rPr>
          <w:i/>
          <w:iCs/>
          <w:noProof/>
        </w:rPr>
        <w:t xml:space="preserve">Handb. </w:t>
      </w:r>
      <w:r w:rsidRPr="00C441C3">
        <w:rPr>
          <w:i/>
          <w:iCs/>
          <w:noProof/>
          <w:lang w:val="it-IT"/>
        </w:rPr>
        <w:t>Clin. Neurol.</w:t>
      </w:r>
      <w:r w:rsidRPr="00C441C3">
        <w:rPr>
          <w:noProof/>
          <w:lang w:val="it-IT"/>
        </w:rPr>
        <w:t xml:space="preserve"> </w:t>
      </w:r>
      <w:r w:rsidRPr="00C441C3">
        <w:rPr>
          <w:b/>
          <w:bCs/>
          <w:noProof/>
          <w:lang w:val="it-IT"/>
        </w:rPr>
        <w:t>2016</w:t>
      </w:r>
      <w:r w:rsidRPr="00C441C3">
        <w:rPr>
          <w:noProof/>
          <w:lang w:val="it-IT"/>
        </w:rPr>
        <w:t xml:space="preserve">, </w:t>
      </w:r>
      <w:r w:rsidRPr="00C441C3">
        <w:rPr>
          <w:i/>
          <w:iCs/>
          <w:noProof/>
          <w:lang w:val="it-IT"/>
        </w:rPr>
        <w:t>134</w:t>
      </w:r>
      <w:r w:rsidRPr="00C441C3">
        <w:rPr>
          <w:noProof/>
          <w:lang w:val="it-IT"/>
        </w:rPr>
        <w:t>, 381.</w:t>
      </w:r>
    </w:p>
    <w:p w14:paraId="3BBE94D2" w14:textId="77777777" w:rsidR="009B653C" w:rsidRPr="00E635F2" w:rsidRDefault="009B653C" w:rsidP="009B653C">
      <w:pPr>
        <w:widowControl w:val="0"/>
        <w:autoSpaceDE w:val="0"/>
        <w:autoSpaceDN w:val="0"/>
        <w:adjustRightInd w:val="0"/>
        <w:ind w:left="640" w:hanging="640"/>
        <w:rPr>
          <w:noProof/>
        </w:rPr>
      </w:pPr>
      <w:r w:rsidRPr="00C441C3">
        <w:rPr>
          <w:noProof/>
          <w:lang w:val="it-IT"/>
        </w:rPr>
        <w:t>[6]</w:t>
      </w:r>
      <w:r w:rsidRPr="00C441C3">
        <w:rPr>
          <w:noProof/>
          <w:lang w:val="it-IT"/>
        </w:rPr>
        <w:tab/>
        <w:t xml:space="preserve">R. Medikonda, G. Dunn, M. Rahman, P. Fecci, M. Lim, </w:t>
      </w:r>
      <w:r w:rsidRPr="00C441C3">
        <w:rPr>
          <w:i/>
          <w:iCs/>
          <w:noProof/>
          <w:lang w:val="it-IT"/>
        </w:rPr>
        <w:t>J. Neurooncol.</w:t>
      </w:r>
      <w:r w:rsidRPr="00C441C3">
        <w:rPr>
          <w:noProof/>
          <w:lang w:val="it-IT"/>
        </w:rPr>
        <w:t xml:space="preserve"> </w:t>
      </w:r>
      <w:r w:rsidRPr="00E635F2">
        <w:rPr>
          <w:b/>
          <w:bCs/>
          <w:noProof/>
        </w:rPr>
        <w:t>2021</w:t>
      </w:r>
      <w:r w:rsidRPr="00E635F2">
        <w:rPr>
          <w:noProof/>
        </w:rPr>
        <w:t xml:space="preserve">, </w:t>
      </w:r>
      <w:r w:rsidRPr="00E635F2">
        <w:rPr>
          <w:i/>
          <w:iCs/>
          <w:noProof/>
        </w:rPr>
        <w:t>151</w:t>
      </w:r>
      <w:r w:rsidRPr="00E635F2">
        <w:rPr>
          <w:noProof/>
        </w:rPr>
        <w:t>, 41.</w:t>
      </w:r>
    </w:p>
    <w:p w14:paraId="1960123C" w14:textId="77777777" w:rsidR="009B653C" w:rsidRPr="00E635F2" w:rsidRDefault="009B653C" w:rsidP="009B653C">
      <w:pPr>
        <w:widowControl w:val="0"/>
        <w:autoSpaceDE w:val="0"/>
        <w:autoSpaceDN w:val="0"/>
        <w:adjustRightInd w:val="0"/>
        <w:ind w:left="640" w:hanging="640"/>
        <w:rPr>
          <w:noProof/>
        </w:rPr>
      </w:pPr>
      <w:r w:rsidRPr="00E635F2">
        <w:rPr>
          <w:noProof/>
        </w:rPr>
        <w:t>[7]</w:t>
      </w:r>
      <w:r w:rsidRPr="00E635F2">
        <w:rPr>
          <w:noProof/>
        </w:rPr>
        <w:tab/>
        <w:t xml:space="preserve">C. E. Brown, A. Rodriguez, J. Palmer, J. R. Ostberg, A. Naranjo, J. R. Wagner, B. Aguilar, R. Starr, L. Weng, T. W. Synold, V. Tran, S. Wang, A. Reik, M. D’Apuzzo, J. A. Ressler, Y. Zhou, M. Mendel, P. D. Gregory, M. C. Holmes, W. W. Tang, S. J. Forman, M. C. Jensen, B. Badie, </w:t>
      </w:r>
      <w:r w:rsidRPr="00E635F2">
        <w:rPr>
          <w:i/>
          <w:iCs/>
          <w:noProof/>
        </w:rPr>
        <w:t>Neuro. Oncol.</w:t>
      </w:r>
      <w:r w:rsidRPr="00E635F2">
        <w:rPr>
          <w:noProof/>
        </w:rPr>
        <w:t xml:space="preserve"> </w:t>
      </w:r>
      <w:r w:rsidRPr="00E635F2">
        <w:rPr>
          <w:b/>
          <w:bCs/>
          <w:noProof/>
        </w:rPr>
        <w:t>2022</w:t>
      </w:r>
      <w:r w:rsidRPr="00E635F2">
        <w:rPr>
          <w:noProof/>
        </w:rPr>
        <w:t xml:space="preserve">, </w:t>
      </w:r>
      <w:r w:rsidRPr="00E635F2">
        <w:rPr>
          <w:i/>
          <w:iCs/>
          <w:noProof/>
        </w:rPr>
        <w:t>24</w:t>
      </w:r>
      <w:r w:rsidRPr="00E635F2">
        <w:rPr>
          <w:noProof/>
        </w:rPr>
        <w:t>, 1318.</w:t>
      </w:r>
    </w:p>
    <w:p w14:paraId="15A84863" w14:textId="77777777" w:rsidR="009B653C" w:rsidRPr="00E635F2" w:rsidRDefault="009B653C" w:rsidP="009B653C">
      <w:pPr>
        <w:widowControl w:val="0"/>
        <w:autoSpaceDE w:val="0"/>
        <w:autoSpaceDN w:val="0"/>
        <w:adjustRightInd w:val="0"/>
        <w:ind w:left="640" w:hanging="640"/>
        <w:rPr>
          <w:noProof/>
        </w:rPr>
      </w:pPr>
      <w:r w:rsidRPr="00E635F2">
        <w:rPr>
          <w:noProof/>
        </w:rPr>
        <w:t>[8]</w:t>
      </w:r>
      <w:r w:rsidRPr="00E635F2">
        <w:rPr>
          <w:noProof/>
        </w:rPr>
        <w:tab/>
        <w:t xml:space="preserve">D. M. O’Rourke, M. P. Nasrallah, A. Desai, J. J. Melenhorst, K. Mansfield, J. J. D. Morrissette, M. Martinez-Lage, S. Brem, E. Maloney, A. Shen, R. Isaacs, S. Mohan, G. Plesa, S. F. Lacey, J.-M. Navenot, Z. Zheng, B. L. Levine, H. Okada, C. H. June, J. L. Brogdon, M. V Maus, </w:t>
      </w:r>
      <w:r w:rsidRPr="00E635F2">
        <w:rPr>
          <w:i/>
          <w:iCs/>
          <w:noProof/>
        </w:rPr>
        <w:t>Sci. Transl. Med.</w:t>
      </w:r>
      <w:r w:rsidRPr="00E635F2">
        <w:rPr>
          <w:noProof/>
        </w:rPr>
        <w:t xml:space="preserve"> </w:t>
      </w:r>
      <w:r w:rsidRPr="00E635F2">
        <w:rPr>
          <w:b/>
          <w:bCs/>
          <w:noProof/>
        </w:rPr>
        <w:t>2017</w:t>
      </w:r>
      <w:r w:rsidRPr="00E635F2">
        <w:rPr>
          <w:noProof/>
        </w:rPr>
        <w:t xml:space="preserve">, </w:t>
      </w:r>
      <w:r w:rsidRPr="00E635F2">
        <w:rPr>
          <w:i/>
          <w:iCs/>
          <w:noProof/>
        </w:rPr>
        <w:t>9</w:t>
      </w:r>
      <w:r w:rsidRPr="00E635F2">
        <w:rPr>
          <w:noProof/>
        </w:rPr>
        <w:t>, DOI 10.1126/scitranslmed.aaa0984.</w:t>
      </w:r>
    </w:p>
    <w:p w14:paraId="73EDC777" w14:textId="77777777" w:rsidR="009B653C" w:rsidRPr="00E635F2" w:rsidRDefault="009B653C" w:rsidP="009B653C">
      <w:pPr>
        <w:widowControl w:val="0"/>
        <w:autoSpaceDE w:val="0"/>
        <w:autoSpaceDN w:val="0"/>
        <w:adjustRightInd w:val="0"/>
        <w:ind w:left="640" w:hanging="640"/>
        <w:rPr>
          <w:noProof/>
        </w:rPr>
      </w:pPr>
      <w:r w:rsidRPr="00E635F2">
        <w:rPr>
          <w:noProof/>
        </w:rPr>
        <w:t>[9]</w:t>
      </w:r>
      <w:r w:rsidRPr="00E635F2">
        <w:rPr>
          <w:noProof/>
        </w:rPr>
        <w:tab/>
        <w:t xml:space="preserve">B. D. Choi, E. R. Gerstner, M. J. Frigault, M. B. Leick, C. W. Mount, L. Balaj, S. Nikiforow, </w:t>
      </w:r>
      <w:r w:rsidRPr="00E635F2">
        <w:rPr>
          <w:noProof/>
        </w:rPr>
        <w:lastRenderedPageBreak/>
        <w:t xml:space="preserve">B. S. Carter, W. T. Curry, K. Gallagher, M. V Maus, </w:t>
      </w:r>
      <w:r w:rsidRPr="00E635F2">
        <w:rPr>
          <w:i/>
          <w:iCs/>
          <w:noProof/>
        </w:rPr>
        <w:t>N. Engl. J. Med.</w:t>
      </w:r>
      <w:r w:rsidRPr="00E635F2">
        <w:rPr>
          <w:noProof/>
        </w:rPr>
        <w:t xml:space="preserve"> </w:t>
      </w:r>
      <w:r w:rsidRPr="00E635F2">
        <w:rPr>
          <w:b/>
          <w:bCs/>
          <w:noProof/>
        </w:rPr>
        <w:t>2024</w:t>
      </w:r>
      <w:r w:rsidRPr="00E635F2">
        <w:rPr>
          <w:noProof/>
        </w:rPr>
        <w:t xml:space="preserve">, </w:t>
      </w:r>
      <w:r w:rsidRPr="00E635F2">
        <w:rPr>
          <w:i/>
          <w:iCs/>
          <w:noProof/>
        </w:rPr>
        <w:t>390</w:t>
      </w:r>
      <w:r w:rsidRPr="00E635F2">
        <w:rPr>
          <w:noProof/>
        </w:rPr>
        <w:t>, 1290.</w:t>
      </w:r>
    </w:p>
    <w:p w14:paraId="040A27B4" w14:textId="77777777" w:rsidR="009B653C" w:rsidRPr="00C441C3" w:rsidRDefault="009B653C" w:rsidP="009B653C">
      <w:pPr>
        <w:widowControl w:val="0"/>
        <w:autoSpaceDE w:val="0"/>
        <w:autoSpaceDN w:val="0"/>
        <w:adjustRightInd w:val="0"/>
        <w:ind w:left="640" w:hanging="640"/>
        <w:rPr>
          <w:noProof/>
          <w:lang w:val="it-IT"/>
        </w:rPr>
      </w:pPr>
      <w:r w:rsidRPr="00E635F2">
        <w:rPr>
          <w:noProof/>
        </w:rPr>
        <w:t>[10]</w:t>
      </w:r>
      <w:r w:rsidRPr="00E635F2">
        <w:rPr>
          <w:noProof/>
        </w:rPr>
        <w:tab/>
        <w:t xml:space="preserve">S. J. Russell, K.-W. Peng, J. C. Bell, </w:t>
      </w:r>
      <w:r w:rsidRPr="00E635F2">
        <w:rPr>
          <w:i/>
          <w:iCs/>
          <w:noProof/>
        </w:rPr>
        <w:t xml:space="preserve">Nat. </w:t>
      </w:r>
      <w:r w:rsidRPr="00C441C3">
        <w:rPr>
          <w:i/>
          <w:iCs/>
          <w:noProof/>
          <w:lang w:val="it-IT"/>
        </w:rPr>
        <w:t>Biotechnol.</w:t>
      </w:r>
      <w:r w:rsidRPr="00C441C3">
        <w:rPr>
          <w:noProof/>
          <w:lang w:val="it-IT"/>
        </w:rPr>
        <w:t xml:space="preserve"> </w:t>
      </w:r>
      <w:r w:rsidRPr="00C441C3">
        <w:rPr>
          <w:b/>
          <w:bCs/>
          <w:noProof/>
          <w:lang w:val="it-IT"/>
        </w:rPr>
        <w:t>2012</w:t>
      </w:r>
      <w:r w:rsidRPr="00C441C3">
        <w:rPr>
          <w:noProof/>
          <w:lang w:val="it-IT"/>
        </w:rPr>
        <w:t xml:space="preserve">, </w:t>
      </w:r>
      <w:r w:rsidRPr="00C441C3">
        <w:rPr>
          <w:i/>
          <w:iCs/>
          <w:noProof/>
          <w:lang w:val="it-IT"/>
        </w:rPr>
        <w:t>30</w:t>
      </w:r>
      <w:r w:rsidRPr="00C441C3">
        <w:rPr>
          <w:noProof/>
          <w:lang w:val="it-IT"/>
        </w:rPr>
        <w:t>, 658.</w:t>
      </w:r>
    </w:p>
    <w:p w14:paraId="14A1E774" w14:textId="77777777" w:rsidR="009B653C" w:rsidRPr="00E635F2" w:rsidRDefault="009B653C" w:rsidP="009B653C">
      <w:pPr>
        <w:widowControl w:val="0"/>
        <w:autoSpaceDE w:val="0"/>
        <w:autoSpaceDN w:val="0"/>
        <w:adjustRightInd w:val="0"/>
        <w:ind w:left="640" w:hanging="640"/>
        <w:rPr>
          <w:noProof/>
        </w:rPr>
      </w:pPr>
      <w:r w:rsidRPr="00C441C3">
        <w:rPr>
          <w:noProof/>
          <w:lang w:val="it-IT"/>
        </w:rPr>
        <w:t>[11]</w:t>
      </w:r>
      <w:r w:rsidRPr="00C441C3">
        <w:rPr>
          <w:noProof/>
          <w:lang w:val="it-IT"/>
        </w:rPr>
        <w:tab/>
        <w:t xml:space="preserve">A. Reale, A. Vitiello, V. Conciatori, C. Parolin, A. Calistri, G. Palù, </w:t>
      </w:r>
      <w:r w:rsidRPr="00C441C3">
        <w:rPr>
          <w:i/>
          <w:iCs/>
          <w:noProof/>
          <w:lang w:val="it-IT"/>
        </w:rPr>
        <w:t xml:space="preserve">Infect. </w:t>
      </w:r>
      <w:r w:rsidRPr="00E635F2">
        <w:rPr>
          <w:i/>
          <w:iCs/>
          <w:noProof/>
        </w:rPr>
        <w:t>Agent. Cancer</w:t>
      </w:r>
      <w:r w:rsidRPr="00E635F2">
        <w:rPr>
          <w:noProof/>
        </w:rPr>
        <w:t xml:space="preserve"> </w:t>
      </w:r>
      <w:r w:rsidRPr="00E635F2">
        <w:rPr>
          <w:b/>
          <w:bCs/>
          <w:noProof/>
        </w:rPr>
        <w:t>2019</w:t>
      </w:r>
      <w:r w:rsidRPr="00E635F2">
        <w:rPr>
          <w:noProof/>
        </w:rPr>
        <w:t xml:space="preserve">, </w:t>
      </w:r>
      <w:r w:rsidRPr="00E635F2">
        <w:rPr>
          <w:i/>
          <w:iCs/>
          <w:noProof/>
        </w:rPr>
        <w:t>14</w:t>
      </w:r>
      <w:r w:rsidRPr="00E635F2">
        <w:rPr>
          <w:noProof/>
        </w:rPr>
        <w:t>, 5.</w:t>
      </w:r>
    </w:p>
    <w:p w14:paraId="2239166C" w14:textId="77777777" w:rsidR="009B653C" w:rsidRPr="00E635F2" w:rsidRDefault="009B653C" w:rsidP="009B653C">
      <w:pPr>
        <w:widowControl w:val="0"/>
        <w:autoSpaceDE w:val="0"/>
        <w:autoSpaceDN w:val="0"/>
        <w:adjustRightInd w:val="0"/>
        <w:ind w:left="640" w:hanging="640"/>
        <w:rPr>
          <w:noProof/>
        </w:rPr>
      </w:pPr>
      <w:r w:rsidRPr="00E635F2">
        <w:rPr>
          <w:noProof/>
        </w:rPr>
        <w:t>[12]</w:t>
      </w:r>
      <w:r w:rsidRPr="00E635F2">
        <w:rPr>
          <w:noProof/>
        </w:rPr>
        <w:tab/>
        <w:t xml:space="preserve">R. M. Conry, B. Westbrook, S. McKee, T. G. Norwood, </w:t>
      </w:r>
      <w:r w:rsidRPr="00E635F2">
        <w:rPr>
          <w:i/>
          <w:iCs/>
          <w:noProof/>
        </w:rPr>
        <w:t>Hum. Vaccin. Immunother.</w:t>
      </w:r>
      <w:r w:rsidRPr="00E635F2">
        <w:rPr>
          <w:noProof/>
        </w:rPr>
        <w:t xml:space="preserve"> </w:t>
      </w:r>
      <w:r w:rsidRPr="00E635F2">
        <w:rPr>
          <w:b/>
          <w:bCs/>
          <w:noProof/>
        </w:rPr>
        <w:t>2018</w:t>
      </w:r>
      <w:r w:rsidRPr="00E635F2">
        <w:rPr>
          <w:noProof/>
        </w:rPr>
        <w:t xml:space="preserve">, </w:t>
      </w:r>
      <w:r w:rsidRPr="00E635F2">
        <w:rPr>
          <w:i/>
          <w:iCs/>
          <w:noProof/>
        </w:rPr>
        <w:t>14</w:t>
      </w:r>
      <w:r w:rsidRPr="00E635F2">
        <w:rPr>
          <w:noProof/>
        </w:rPr>
        <w:t>, 839.</w:t>
      </w:r>
    </w:p>
    <w:p w14:paraId="031DF971" w14:textId="77777777" w:rsidR="009B653C" w:rsidRPr="00E635F2" w:rsidRDefault="009B653C" w:rsidP="009B653C">
      <w:pPr>
        <w:widowControl w:val="0"/>
        <w:autoSpaceDE w:val="0"/>
        <w:autoSpaceDN w:val="0"/>
        <w:adjustRightInd w:val="0"/>
        <w:ind w:left="640" w:hanging="640"/>
        <w:rPr>
          <w:noProof/>
        </w:rPr>
      </w:pPr>
      <w:r w:rsidRPr="00E635F2">
        <w:rPr>
          <w:noProof/>
        </w:rPr>
        <w:t>[13]</w:t>
      </w:r>
      <w:r w:rsidRPr="00E635F2">
        <w:rPr>
          <w:noProof/>
        </w:rPr>
        <w:tab/>
        <w:t xml:space="preserve">T. Todo, H. Ito, Y. Ino, H. Ohtsu, Y. Ota, J. Shibahara, M. Tanaka, </w:t>
      </w:r>
      <w:r w:rsidRPr="00E635F2">
        <w:rPr>
          <w:i/>
          <w:iCs/>
          <w:noProof/>
        </w:rPr>
        <w:t>Nat. Med.</w:t>
      </w:r>
      <w:r w:rsidRPr="00E635F2">
        <w:rPr>
          <w:noProof/>
        </w:rPr>
        <w:t xml:space="preserve"> </w:t>
      </w:r>
      <w:r w:rsidRPr="00E635F2">
        <w:rPr>
          <w:b/>
          <w:bCs/>
          <w:noProof/>
        </w:rPr>
        <w:t>2022</w:t>
      </w:r>
      <w:r w:rsidRPr="00E635F2">
        <w:rPr>
          <w:noProof/>
        </w:rPr>
        <w:t xml:space="preserve">, </w:t>
      </w:r>
      <w:r w:rsidRPr="00E635F2">
        <w:rPr>
          <w:i/>
          <w:iCs/>
          <w:noProof/>
        </w:rPr>
        <w:t>28</w:t>
      </w:r>
      <w:r w:rsidRPr="00E635F2">
        <w:rPr>
          <w:noProof/>
        </w:rPr>
        <w:t>, 1630.</w:t>
      </w:r>
    </w:p>
    <w:p w14:paraId="2FF70D1D" w14:textId="77777777" w:rsidR="009B653C" w:rsidRPr="00E635F2" w:rsidRDefault="009B653C" w:rsidP="009B653C">
      <w:pPr>
        <w:widowControl w:val="0"/>
        <w:autoSpaceDE w:val="0"/>
        <w:autoSpaceDN w:val="0"/>
        <w:adjustRightInd w:val="0"/>
        <w:ind w:left="640" w:hanging="640"/>
        <w:rPr>
          <w:noProof/>
        </w:rPr>
      </w:pPr>
      <w:r w:rsidRPr="00E635F2">
        <w:rPr>
          <w:noProof/>
        </w:rPr>
        <w:t>[14]</w:t>
      </w:r>
      <w:r w:rsidRPr="00E635F2">
        <w:rPr>
          <w:noProof/>
        </w:rPr>
        <w:tab/>
        <w:t xml:space="preserve">R. A. Ageeb, M. Harfouche, H. Chemaitelly, L. J. Abu-Raddad, </w:t>
      </w:r>
      <w:r w:rsidRPr="00E635F2">
        <w:rPr>
          <w:i/>
          <w:iCs/>
          <w:noProof/>
        </w:rPr>
        <w:t>iScience</w:t>
      </w:r>
      <w:r w:rsidRPr="00E635F2">
        <w:rPr>
          <w:noProof/>
        </w:rPr>
        <w:t xml:space="preserve"> </w:t>
      </w:r>
      <w:r w:rsidRPr="00E635F2">
        <w:rPr>
          <w:b/>
          <w:bCs/>
          <w:noProof/>
        </w:rPr>
        <w:t>2024</w:t>
      </w:r>
      <w:r w:rsidRPr="00E635F2">
        <w:rPr>
          <w:noProof/>
        </w:rPr>
        <w:t xml:space="preserve">, </w:t>
      </w:r>
      <w:r w:rsidRPr="00E635F2">
        <w:rPr>
          <w:i/>
          <w:iCs/>
          <w:noProof/>
        </w:rPr>
        <w:t>27</w:t>
      </w:r>
      <w:r w:rsidRPr="00E635F2">
        <w:rPr>
          <w:noProof/>
        </w:rPr>
        <w:t>, 110652.</w:t>
      </w:r>
    </w:p>
    <w:p w14:paraId="33BED9B2" w14:textId="77777777" w:rsidR="009B653C" w:rsidRPr="00C441C3" w:rsidRDefault="009B653C" w:rsidP="009B653C">
      <w:pPr>
        <w:widowControl w:val="0"/>
        <w:autoSpaceDE w:val="0"/>
        <w:autoSpaceDN w:val="0"/>
        <w:adjustRightInd w:val="0"/>
        <w:ind w:left="640" w:hanging="640"/>
        <w:rPr>
          <w:noProof/>
          <w:lang w:val="it-IT"/>
        </w:rPr>
      </w:pPr>
      <w:r w:rsidRPr="00E635F2">
        <w:rPr>
          <w:noProof/>
        </w:rPr>
        <w:t>[15]</w:t>
      </w:r>
      <w:r w:rsidRPr="00E635F2">
        <w:rPr>
          <w:noProof/>
        </w:rPr>
        <w:tab/>
        <w:t xml:space="preserve">A. Hadryś, A. Sochanik, G. McFadden, J. Jazowiecka-Rakus, </w:t>
      </w:r>
      <w:r w:rsidRPr="00E635F2">
        <w:rPr>
          <w:i/>
          <w:iCs/>
          <w:noProof/>
        </w:rPr>
        <w:t>Eur. J. Pharmacol.</w:t>
      </w:r>
      <w:r w:rsidRPr="00E635F2">
        <w:rPr>
          <w:noProof/>
        </w:rPr>
        <w:t xml:space="preserve"> </w:t>
      </w:r>
      <w:r w:rsidRPr="00C441C3">
        <w:rPr>
          <w:b/>
          <w:bCs/>
          <w:noProof/>
          <w:lang w:val="it-IT"/>
        </w:rPr>
        <w:t>2020</w:t>
      </w:r>
      <w:r w:rsidRPr="00C441C3">
        <w:rPr>
          <w:noProof/>
          <w:lang w:val="it-IT"/>
        </w:rPr>
        <w:t xml:space="preserve">, </w:t>
      </w:r>
      <w:r w:rsidRPr="00C441C3">
        <w:rPr>
          <w:i/>
          <w:iCs/>
          <w:noProof/>
          <w:lang w:val="it-IT"/>
        </w:rPr>
        <w:t>874</w:t>
      </w:r>
      <w:r w:rsidRPr="00C441C3">
        <w:rPr>
          <w:noProof/>
          <w:lang w:val="it-IT"/>
        </w:rPr>
        <w:t>, 172991.</w:t>
      </w:r>
    </w:p>
    <w:p w14:paraId="3BB24912" w14:textId="77777777" w:rsidR="009B653C" w:rsidRPr="00C441C3" w:rsidRDefault="009B653C" w:rsidP="009B653C">
      <w:pPr>
        <w:widowControl w:val="0"/>
        <w:autoSpaceDE w:val="0"/>
        <w:autoSpaceDN w:val="0"/>
        <w:adjustRightInd w:val="0"/>
        <w:ind w:left="640" w:hanging="640"/>
        <w:rPr>
          <w:noProof/>
          <w:lang w:val="it-IT"/>
        </w:rPr>
      </w:pPr>
      <w:r w:rsidRPr="00C441C3">
        <w:rPr>
          <w:noProof/>
          <w:lang w:val="it-IT"/>
        </w:rPr>
        <w:t>[16]</w:t>
      </w:r>
      <w:r w:rsidRPr="00C441C3">
        <w:rPr>
          <w:noProof/>
          <w:lang w:val="it-IT"/>
        </w:rPr>
        <w:tab/>
        <w:t xml:space="preserve">A. Reale, L. Krutzke, M. Cadamuro, A. Vitiello, J. von Einem, S. Kochanek, G. Palù, C. Parolin, A. Calistri, </w:t>
      </w:r>
      <w:r w:rsidRPr="00C441C3">
        <w:rPr>
          <w:i/>
          <w:iCs/>
          <w:noProof/>
          <w:lang w:val="it-IT"/>
        </w:rPr>
        <w:t>Int. J. Mol. Sci.</w:t>
      </w:r>
      <w:r w:rsidRPr="00C441C3">
        <w:rPr>
          <w:noProof/>
          <w:lang w:val="it-IT"/>
        </w:rPr>
        <w:t xml:space="preserve"> </w:t>
      </w:r>
      <w:r w:rsidRPr="00C441C3">
        <w:rPr>
          <w:b/>
          <w:bCs/>
          <w:noProof/>
          <w:lang w:val="it-IT"/>
        </w:rPr>
        <w:t>2023</w:t>
      </w:r>
      <w:r w:rsidRPr="00C441C3">
        <w:rPr>
          <w:noProof/>
          <w:lang w:val="it-IT"/>
        </w:rPr>
        <w:t xml:space="preserve">, </w:t>
      </w:r>
      <w:r w:rsidRPr="00C441C3">
        <w:rPr>
          <w:i/>
          <w:iCs/>
          <w:noProof/>
          <w:lang w:val="it-IT"/>
        </w:rPr>
        <w:t>24</w:t>
      </w:r>
      <w:r w:rsidRPr="00C441C3">
        <w:rPr>
          <w:noProof/>
          <w:lang w:val="it-IT"/>
        </w:rPr>
        <w:t>, DOI 10.3390/ijms24119255.</w:t>
      </w:r>
    </w:p>
    <w:p w14:paraId="41AA1559" w14:textId="77777777" w:rsidR="009B653C" w:rsidRPr="00C441C3" w:rsidRDefault="009B653C" w:rsidP="009B653C">
      <w:pPr>
        <w:widowControl w:val="0"/>
        <w:autoSpaceDE w:val="0"/>
        <w:autoSpaceDN w:val="0"/>
        <w:adjustRightInd w:val="0"/>
        <w:ind w:left="640" w:hanging="640"/>
        <w:rPr>
          <w:noProof/>
          <w:lang w:val="it-IT"/>
        </w:rPr>
      </w:pPr>
      <w:r w:rsidRPr="00C441C3">
        <w:rPr>
          <w:noProof/>
          <w:lang w:val="it-IT"/>
        </w:rPr>
        <w:t>[17]</w:t>
      </w:r>
      <w:r w:rsidRPr="00C441C3">
        <w:rPr>
          <w:noProof/>
          <w:lang w:val="it-IT"/>
        </w:rPr>
        <w:tab/>
        <w:t xml:space="preserve">M. A. Deli, G. Porkoláb, A. Kincses, M. Mészáros, A. Szecskó, A. E. Kocsis, J. P. Vigh, S. Valkai, S. Veszelka, F. R. Walter, A. Dér, </w:t>
      </w:r>
      <w:r w:rsidRPr="00C441C3">
        <w:rPr>
          <w:i/>
          <w:iCs/>
          <w:noProof/>
          <w:lang w:val="it-IT"/>
        </w:rPr>
        <w:t>Lab Chip</w:t>
      </w:r>
      <w:r w:rsidRPr="00C441C3">
        <w:rPr>
          <w:noProof/>
          <w:lang w:val="it-IT"/>
        </w:rPr>
        <w:t xml:space="preserve"> </w:t>
      </w:r>
      <w:r w:rsidRPr="00C441C3">
        <w:rPr>
          <w:b/>
          <w:bCs/>
          <w:noProof/>
          <w:lang w:val="it-IT"/>
        </w:rPr>
        <w:t>2024</w:t>
      </w:r>
      <w:r w:rsidRPr="00C441C3">
        <w:rPr>
          <w:noProof/>
          <w:lang w:val="it-IT"/>
        </w:rPr>
        <w:t xml:space="preserve">, </w:t>
      </w:r>
      <w:r w:rsidRPr="00C441C3">
        <w:rPr>
          <w:i/>
          <w:iCs/>
          <w:noProof/>
          <w:lang w:val="it-IT"/>
        </w:rPr>
        <w:t>24</w:t>
      </w:r>
      <w:r w:rsidRPr="00C441C3">
        <w:rPr>
          <w:noProof/>
          <w:lang w:val="it-IT"/>
        </w:rPr>
        <w:t>, 1030.</w:t>
      </w:r>
    </w:p>
    <w:p w14:paraId="3501E10F" w14:textId="77777777" w:rsidR="009B653C" w:rsidRPr="00C441C3" w:rsidRDefault="009B653C" w:rsidP="009B653C">
      <w:pPr>
        <w:widowControl w:val="0"/>
        <w:autoSpaceDE w:val="0"/>
        <w:autoSpaceDN w:val="0"/>
        <w:adjustRightInd w:val="0"/>
        <w:ind w:left="640" w:hanging="640"/>
        <w:rPr>
          <w:noProof/>
          <w:lang w:val="it-IT"/>
        </w:rPr>
      </w:pPr>
      <w:r w:rsidRPr="00C441C3">
        <w:rPr>
          <w:noProof/>
          <w:lang w:val="it-IT"/>
        </w:rPr>
        <w:t>[18]</w:t>
      </w:r>
      <w:r w:rsidRPr="00C441C3">
        <w:rPr>
          <w:noProof/>
          <w:lang w:val="it-IT"/>
        </w:rPr>
        <w:tab/>
        <w:t xml:space="preserve">S. Reshma, K. B. Megha, S. Amir, S. Rukhiya, P. V Mohanan, </w:t>
      </w:r>
      <w:r w:rsidRPr="00C441C3">
        <w:rPr>
          <w:i/>
          <w:iCs/>
          <w:noProof/>
          <w:lang w:val="it-IT"/>
        </w:rPr>
        <w:t>J. Drug Deliv. Sci. Technol.</w:t>
      </w:r>
      <w:r w:rsidRPr="00C441C3">
        <w:rPr>
          <w:noProof/>
          <w:lang w:val="it-IT"/>
        </w:rPr>
        <w:t xml:space="preserve"> </w:t>
      </w:r>
      <w:r w:rsidRPr="00C441C3">
        <w:rPr>
          <w:b/>
          <w:bCs/>
          <w:noProof/>
          <w:lang w:val="it-IT"/>
        </w:rPr>
        <w:t>2023</w:t>
      </w:r>
      <w:r w:rsidRPr="00C441C3">
        <w:rPr>
          <w:noProof/>
          <w:lang w:val="it-IT"/>
        </w:rPr>
        <w:t xml:space="preserve">, </w:t>
      </w:r>
      <w:r w:rsidRPr="00C441C3">
        <w:rPr>
          <w:i/>
          <w:iCs/>
          <w:noProof/>
          <w:lang w:val="it-IT"/>
        </w:rPr>
        <w:t>80</w:t>
      </w:r>
      <w:r w:rsidRPr="00C441C3">
        <w:rPr>
          <w:noProof/>
          <w:lang w:val="it-IT"/>
        </w:rPr>
        <w:t>, 104174.</w:t>
      </w:r>
    </w:p>
    <w:p w14:paraId="2423BB3E" w14:textId="77777777" w:rsidR="009B653C" w:rsidRPr="00C441C3" w:rsidRDefault="009B653C" w:rsidP="009B653C">
      <w:pPr>
        <w:widowControl w:val="0"/>
        <w:autoSpaceDE w:val="0"/>
        <w:autoSpaceDN w:val="0"/>
        <w:adjustRightInd w:val="0"/>
        <w:ind w:left="640" w:hanging="640"/>
        <w:rPr>
          <w:noProof/>
          <w:lang w:val="it-IT"/>
        </w:rPr>
      </w:pPr>
      <w:r w:rsidRPr="00C441C3">
        <w:rPr>
          <w:noProof/>
          <w:lang w:val="it-IT"/>
        </w:rPr>
        <w:t>[19]</w:t>
      </w:r>
      <w:r w:rsidRPr="00C441C3">
        <w:rPr>
          <w:noProof/>
          <w:lang w:val="it-IT"/>
        </w:rPr>
        <w:tab/>
        <w:t xml:space="preserve">L. Cucullo, M. Hossain, V. Puvenna, N. Marchi, D. Janigro, </w:t>
      </w:r>
      <w:r w:rsidRPr="00C441C3">
        <w:rPr>
          <w:i/>
          <w:iCs/>
          <w:noProof/>
          <w:lang w:val="it-IT"/>
        </w:rPr>
        <w:t>BMC Neurosci.</w:t>
      </w:r>
      <w:r w:rsidRPr="00C441C3">
        <w:rPr>
          <w:noProof/>
          <w:lang w:val="it-IT"/>
        </w:rPr>
        <w:t xml:space="preserve"> </w:t>
      </w:r>
      <w:r w:rsidRPr="00C441C3">
        <w:rPr>
          <w:b/>
          <w:bCs/>
          <w:noProof/>
          <w:lang w:val="it-IT"/>
        </w:rPr>
        <w:t>2011</w:t>
      </w:r>
      <w:r w:rsidRPr="00C441C3">
        <w:rPr>
          <w:noProof/>
          <w:lang w:val="it-IT"/>
        </w:rPr>
        <w:t xml:space="preserve">, </w:t>
      </w:r>
      <w:r w:rsidRPr="00C441C3">
        <w:rPr>
          <w:i/>
          <w:iCs/>
          <w:noProof/>
          <w:lang w:val="it-IT"/>
        </w:rPr>
        <w:t>12</w:t>
      </w:r>
      <w:r w:rsidRPr="00C441C3">
        <w:rPr>
          <w:noProof/>
          <w:lang w:val="it-IT"/>
        </w:rPr>
        <w:t>, 1.</w:t>
      </w:r>
    </w:p>
    <w:p w14:paraId="09D2F53F" w14:textId="77777777" w:rsidR="009B653C" w:rsidRPr="00E635F2" w:rsidRDefault="009B653C" w:rsidP="009B653C">
      <w:pPr>
        <w:widowControl w:val="0"/>
        <w:autoSpaceDE w:val="0"/>
        <w:autoSpaceDN w:val="0"/>
        <w:adjustRightInd w:val="0"/>
        <w:ind w:left="640" w:hanging="640"/>
        <w:rPr>
          <w:noProof/>
        </w:rPr>
      </w:pPr>
      <w:r w:rsidRPr="00C441C3">
        <w:rPr>
          <w:noProof/>
          <w:lang w:val="it-IT"/>
        </w:rPr>
        <w:t>[20]</w:t>
      </w:r>
      <w:r w:rsidRPr="00C441C3">
        <w:rPr>
          <w:noProof/>
          <w:lang w:val="it-IT"/>
        </w:rPr>
        <w:tab/>
        <w:t xml:space="preserve">E. Jagtiani, M. Yeolekar, S. Naik, V. Patravale, </w:t>
      </w:r>
      <w:r w:rsidRPr="00C441C3">
        <w:rPr>
          <w:i/>
          <w:iCs/>
          <w:noProof/>
          <w:lang w:val="it-IT"/>
        </w:rPr>
        <w:t xml:space="preserve">J. Control. </w:t>
      </w:r>
      <w:r w:rsidRPr="00E635F2">
        <w:rPr>
          <w:i/>
          <w:iCs/>
          <w:noProof/>
        </w:rPr>
        <w:t>Release</w:t>
      </w:r>
      <w:r w:rsidRPr="00E635F2">
        <w:rPr>
          <w:noProof/>
        </w:rPr>
        <w:t xml:space="preserve"> </w:t>
      </w:r>
      <w:r w:rsidRPr="00E635F2">
        <w:rPr>
          <w:b/>
          <w:bCs/>
          <w:noProof/>
        </w:rPr>
        <w:t>2022</w:t>
      </w:r>
      <w:r w:rsidRPr="00E635F2">
        <w:rPr>
          <w:noProof/>
        </w:rPr>
        <w:t xml:space="preserve">, </w:t>
      </w:r>
      <w:r w:rsidRPr="00E635F2">
        <w:rPr>
          <w:i/>
          <w:iCs/>
          <w:noProof/>
        </w:rPr>
        <w:t>343</w:t>
      </w:r>
      <w:r w:rsidRPr="00E635F2">
        <w:rPr>
          <w:noProof/>
        </w:rPr>
        <w:t>, 13.</w:t>
      </w:r>
    </w:p>
    <w:p w14:paraId="7D171C71" w14:textId="77777777" w:rsidR="009B653C" w:rsidRPr="00E635F2" w:rsidRDefault="009B653C" w:rsidP="009B653C">
      <w:pPr>
        <w:widowControl w:val="0"/>
        <w:autoSpaceDE w:val="0"/>
        <w:autoSpaceDN w:val="0"/>
        <w:adjustRightInd w:val="0"/>
        <w:ind w:left="640" w:hanging="640"/>
        <w:rPr>
          <w:noProof/>
        </w:rPr>
      </w:pPr>
      <w:r w:rsidRPr="00E635F2">
        <w:rPr>
          <w:noProof/>
        </w:rPr>
        <w:t>[21]</w:t>
      </w:r>
      <w:r w:rsidRPr="00E635F2">
        <w:rPr>
          <w:noProof/>
        </w:rPr>
        <w:tab/>
        <w:t xml:space="preserve">C. E. Staicu, F. Jipa, E. Axente, M. Radu, B. M. Radu, F. Sima, </w:t>
      </w:r>
      <w:r w:rsidRPr="00E635F2">
        <w:rPr>
          <w:i/>
          <w:iCs/>
          <w:noProof/>
        </w:rPr>
        <w:t>Biomolecules</w:t>
      </w:r>
      <w:r w:rsidRPr="00E635F2">
        <w:rPr>
          <w:noProof/>
        </w:rPr>
        <w:t xml:space="preserve"> </w:t>
      </w:r>
      <w:r w:rsidRPr="00E635F2">
        <w:rPr>
          <w:b/>
          <w:bCs/>
          <w:noProof/>
        </w:rPr>
        <w:t>2021</w:t>
      </w:r>
      <w:r w:rsidRPr="00E635F2">
        <w:rPr>
          <w:noProof/>
        </w:rPr>
        <w:t xml:space="preserve">, </w:t>
      </w:r>
      <w:r w:rsidRPr="00E635F2">
        <w:rPr>
          <w:i/>
          <w:iCs/>
          <w:noProof/>
        </w:rPr>
        <w:t>11</w:t>
      </w:r>
      <w:r w:rsidRPr="00E635F2">
        <w:rPr>
          <w:noProof/>
        </w:rPr>
        <w:t>, DOI 10.3390/biom11060916.</w:t>
      </w:r>
    </w:p>
    <w:p w14:paraId="7AAB21D8" w14:textId="77777777" w:rsidR="009B653C" w:rsidRPr="00E635F2" w:rsidRDefault="009B653C" w:rsidP="009B653C">
      <w:pPr>
        <w:widowControl w:val="0"/>
        <w:autoSpaceDE w:val="0"/>
        <w:autoSpaceDN w:val="0"/>
        <w:adjustRightInd w:val="0"/>
        <w:ind w:left="640" w:hanging="640"/>
        <w:rPr>
          <w:noProof/>
        </w:rPr>
      </w:pPr>
      <w:r w:rsidRPr="00E635F2">
        <w:rPr>
          <w:noProof/>
        </w:rPr>
        <w:t>[22]</w:t>
      </w:r>
      <w:r w:rsidRPr="00E635F2">
        <w:rPr>
          <w:noProof/>
        </w:rPr>
        <w:tab/>
        <w:t xml:space="preserve">W. Bi, S. Cai, T. Lei, L. Wang, </w:t>
      </w:r>
      <w:r w:rsidRPr="00E635F2">
        <w:rPr>
          <w:i/>
          <w:iCs/>
          <w:noProof/>
        </w:rPr>
        <w:t>Ageing Res. Rev.</w:t>
      </w:r>
      <w:r w:rsidRPr="00E635F2">
        <w:rPr>
          <w:noProof/>
        </w:rPr>
        <w:t xml:space="preserve"> </w:t>
      </w:r>
      <w:r w:rsidRPr="00E635F2">
        <w:rPr>
          <w:b/>
          <w:bCs/>
          <w:noProof/>
        </w:rPr>
        <w:t>2023</w:t>
      </w:r>
      <w:r w:rsidRPr="00E635F2">
        <w:rPr>
          <w:noProof/>
        </w:rPr>
        <w:t xml:space="preserve">, </w:t>
      </w:r>
      <w:r w:rsidRPr="00E635F2">
        <w:rPr>
          <w:i/>
          <w:iCs/>
          <w:noProof/>
        </w:rPr>
        <w:t>87</w:t>
      </w:r>
      <w:r w:rsidRPr="00E635F2">
        <w:rPr>
          <w:noProof/>
        </w:rPr>
        <w:t>, 101921.</w:t>
      </w:r>
    </w:p>
    <w:p w14:paraId="123E52FC" w14:textId="77777777" w:rsidR="009B653C" w:rsidRPr="00E635F2" w:rsidRDefault="009B653C" w:rsidP="009B653C">
      <w:pPr>
        <w:widowControl w:val="0"/>
        <w:autoSpaceDE w:val="0"/>
        <w:autoSpaceDN w:val="0"/>
        <w:adjustRightInd w:val="0"/>
        <w:ind w:left="640" w:hanging="640"/>
        <w:rPr>
          <w:noProof/>
        </w:rPr>
      </w:pPr>
      <w:r w:rsidRPr="00E635F2">
        <w:rPr>
          <w:noProof/>
        </w:rPr>
        <w:t>[23]</w:t>
      </w:r>
      <w:r w:rsidRPr="00E635F2">
        <w:rPr>
          <w:noProof/>
        </w:rPr>
        <w:tab/>
        <w:t xml:space="preserve">L. M. Griep, F. Wolbers, B. de Wagenaar, P. M. ter Braak, B. B. Weksler, I. A. Romero, P. O. Couraud, I. Vermes, A. D. van der Meer, A. van den Berg, </w:t>
      </w:r>
      <w:r w:rsidRPr="00E635F2">
        <w:rPr>
          <w:i/>
          <w:iCs/>
          <w:noProof/>
        </w:rPr>
        <w:t>Biomed. Microdevices</w:t>
      </w:r>
      <w:r w:rsidRPr="00E635F2">
        <w:rPr>
          <w:noProof/>
        </w:rPr>
        <w:t xml:space="preserve"> </w:t>
      </w:r>
      <w:r w:rsidRPr="00E635F2">
        <w:rPr>
          <w:b/>
          <w:bCs/>
          <w:noProof/>
        </w:rPr>
        <w:t>2013</w:t>
      </w:r>
      <w:r w:rsidRPr="00E635F2">
        <w:rPr>
          <w:noProof/>
        </w:rPr>
        <w:t xml:space="preserve">, </w:t>
      </w:r>
      <w:r w:rsidRPr="00E635F2">
        <w:rPr>
          <w:i/>
          <w:iCs/>
          <w:noProof/>
        </w:rPr>
        <w:t>15</w:t>
      </w:r>
      <w:r w:rsidRPr="00E635F2">
        <w:rPr>
          <w:noProof/>
        </w:rPr>
        <w:t>, 145.</w:t>
      </w:r>
    </w:p>
    <w:p w14:paraId="7C02363B" w14:textId="77777777" w:rsidR="009B653C" w:rsidRPr="00E635F2" w:rsidRDefault="009B653C" w:rsidP="009B653C">
      <w:pPr>
        <w:widowControl w:val="0"/>
        <w:autoSpaceDE w:val="0"/>
        <w:autoSpaceDN w:val="0"/>
        <w:adjustRightInd w:val="0"/>
        <w:ind w:left="640" w:hanging="640"/>
        <w:rPr>
          <w:noProof/>
        </w:rPr>
      </w:pPr>
      <w:r w:rsidRPr="00E635F2">
        <w:rPr>
          <w:noProof/>
        </w:rPr>
        <w:t>[24]</w:t>
      </w:r>
      <w:r w:rsidRPr="00E635F2">
        <w:rPr>
          <w:noProof/>
        </w:rPr>
        <w:tab/>
        <w:t xml:space="preserve">J. Banerjee, Y. Shi, H. S. Azevedo, </w:t>
      </w:r>
      <w:r w:rsidRPr="00E635F2">
        <w:rPr>
          <w:i/>
          <w:iCs/>
          <w:noProof/>
        </w:rPr>
        <w:t>Drug Discov. Today</w:t>
      </w:r>
      <w:r w:rsidRPr="00E635F2">
        <w:rPr>
          <w:noProof/>
        </w:rPr>
        <w:t xml:space="preserve"> </w:t>
      </w:r>
      <w:r w:rsidRPr="00E635F2">
        <w:rPr>
          <w:b/>
          <w:bCs/>
          <w:noProof/>
        </w:rPr>
        <w:t>2016</w:t>
      </w:r>
      <w:r w:rsidRPr="00E635F2">
        <w:rPr>
          <w:noProof/>
        </w:rPr>
        <w:t xml:space="preserve">, </w:t>
      </w:r>
      <w:r w:rsidRPr="00E635F2">
        <w:rPr>
          <w:i/>
          <w:iCs/>
          <w:noProof/>
        </w:rPr>
        <w:t>21</w:t>
      </w:r>
      <w:r w:rsidRPr="00E635F2">
        <w:rPr>
          <w:noProof/>
        </w:rPr>
        <w:t>, 1367.</w:t>
      </w:r>
    </w:p>
    <w:p w14:paraId="7BE76779" w14:textId="77777777" w:rsidR="009B653C" w:rsidRPr="00E635F2" w:rsidRDefault="009B653C" w:rsidP="009B653C">
      <w:pPr>
        <w:widowControl w:val="0"/>
        <w:autoSpaceDE w:val="0"/>
        <w:autoSpaceDN w:val="0"/>
        <w:adjustRightInd w:val="0"/>
        <w:ind w:left="640" w:hanging="640"/>
        <w:rPr>
          <w:noProof/>
        </w:rPr>
      </w:pPr>
      <w:r w:rsidRPr="00E635F2">
        <w:rPr>
          <w:noProof/>
        </w:rPr>
        <w:t>[25]</w:t>
      </w:r>
      <w:r w:rsidRPr="00E635F2">
        <w:rPr>
          <w:noProof/>
        </w:rPr>
        <w:tab/>
        <w:t xml:space="preserve">T. G. Schreiner, I. Creangă-Murariu, B. I. Tamba, N. Lucanu, B. O. Popescu, </w:t>
      </w:r>
      <w:r w:rsidRPr="00E635F2">
        <w:rPr>
          <w:i/>
          <w:iCs/>
          <w:noProof/>
        </w:rPr>
        <w:t>Biomolecules</w:t>
      </w:r>
      <w:r w:rsidRPr="00E635F2">
        <w:rPr>
          <w:noProof/>
        </w:rPr>
        <w:t xml:space="preserve"> </w:t>
      </w:r>
      <w:r w:rsidRPr="00E635F2">
        <w:rPr>
          <w:b/>
          <w:bCs/>
          <w:noProof/>
        </w:rPr>
        <w:t>2022</w:t>
      </w:r>
      <w:r w:rsidRPr="00E635F2">
        <w:rPr>
          <w:noProof/>
        </w:rPr>
        <w:t xml:space="preserve">, </w:t>
      </w:r>
      <w:r w:rsidRPr="00E635F2">
        <w:rPr>
          <w:i/>
          <w:iCs/>
          <w:noProof/>
        </w:rPr>
        <w:t>12</w:t>
      </w:r>
      <w:r w:rsidRPr="00E635F2">
        <w:rPr>
          <w:noProof/>
        </w:rPr>
        <w:t>, DOI 10.3390/biom12081136.</w:t>
      </w:r>
    </w:p>
    <w:p w14:paraId="7779787A" w14:textId="77777777" w:rsidR="009B653C" w:rsidRPr="00E635F2" w:rsidRDefault="009B653C" w:rsidP="009B653C">
      <w:pPr>
        <w:widowControl w:val="0"/>
        <w:autoSpaceDE w:val="0"/>
        <w:autoSpaceDN w:val="0"/>
        <w:adjustRightInd w:val="0"/>
        <w:ind w:left="640" w:hanging="640"/>
        <w:rPr>
          <w:noProof/>
        </w:rPr>
      </w:pPr>
      <w:r w:rsidRPr="00C441C3">
        <w:rPr>
          <w:noProof/>
          <w:lang w:val="it-IT"/>
        </w:rPr>
        <w:t>[26]</w:t>
      </w:r>
      <w:r w:rsidRPr="00C441C3">
        <w:rPr>
          <w:noProof/>
          <w:lang w:val="it-IT"/>
        </w:rPr>
        <w:tab/>
        <w:t xml:space="preserve">A. Kamiya, R. Bukhari, T. Togawa, </w:t>
      </w:r>
      <w:r w:rsidRPr="00C441C3">
        <w:rPr>
          <w:i/>
          <w:iCs/>
          <w:noProof/>
          <w:lang w:val="it-IT"/>
        </w:rPr>
        <w:t xml:space="preserve">Bull. </w:t>
      </w:r>
      <w:r w:rsidRPr="00E635F2">
        <w:rPr>
          <w:i/>
          <w:iCs/>
          <w:noProof/>
        </w:rPr>
        <w:t>Math. Biol.</w:t>
      </w:r>
      <w:r w:rsidRPr="00E635F2">
        <w:rPr>
          <w:noProof/>
        </w:rPr>
        <w:t xml:space="preserve"> </w:t>
      </w:r>
      <w:r w:rsidRPr="00E635F2">
        <w:rPr>
          <w:b/>
          <w:bCs/>
          <w:noProof/>
        </w:rPr>
        <w:t>1984</w:t>
      </w:r>
      <w:r w:rsidRPr="00E635F2">
        <w:rPr>
          <w:noProof/>
        </w:rPr>
        <w:t xml:space="preserve">, </w:t>
      </w:r>
      <w:r w:rsidRPr="00E635F2">
        <w:rPr>
          <w:i/>
          <w:iCs/>
          <w:noProof/>
        </w:rPr>
        <w:t>46</w:t>
      </w:r>
      <w:r w:rsidRPr="00E635F2">
        <w:rPr>
          <w:noProof/>
        </w:rPr>
        <w:t>, 127.</w:t>
      </w:r>
    </w:p>
    <w:p w14:paraId="0A0FD357" w14:textId="77777777" w:rsidR="009B653C" w:rsidRPr="00E635F2" w:rsidRDefault="009B653C" w:rsidP="009B653C">
      <w:pPr>
        <w:widowControl w:val="0"/>
        <w:autoSpaceDE w:val="0"/>
        <w:autoSpaceDN w:val="0"/>
        <w:adjustRightInd w:val="0"/>
        <w:ind w:left="640" w:hanging="640"/>
        <w:rPr>
          <w:noProof/>
        </w:rPr>
      </w:pPr>
      <w:r w:rsidRPr="00E635F2">
        <w:rPr>
          <w:noProof/>
        </w:rPr>
        <w:t>[27]</w:t>
      </w:r>
      <w:r w:rsidRPr="00E635F2">
        <w:rPr>
          <w:noProof/>
        </w:rPr>
        <w:tab/>
        <w:t xml:space="preserve">C. S. Lee, K. W. Leong, </w:t>
      </w:r>
      <w:r w:rsidRPr="00E635F2">
        <w:rPr>
          <w:i/>
          <w:iCs/>
          <w:noProof/>
        </w:rPr>
        <w:t>Curr. Opin. Biotechnol.</w:t>
      </w:r>
      <w:r w:rsidRPr="00E635F2">
        <w:rPr>
          <w:noProof/>
        </w:rPr>
        <w:t xml:space="preserve"> </w:t>
      </w:r>
      <w:r w:rsidRPr="00E635F2">
        <w:rPr>
          <w:b/>
          <w:bCs/>
          <w:noProof/>
        </w:rPr>
        <w:t>2020</w:t>
      </w:r>
      <w:r w:rsidRPr="00E635F2">
        <w:rPr>
          <w:noProof/>
        </w:rPr>
        <w:t xml:space="preserve">, </w:t>
      </w:r>
      <w:r w:rsidRPr="00E635F2">
        <w:rPr>
          <w:i/>
          <w:iCs/>
          <w:noProof/>
        </w:rPr>
        <w:t>66</w:t>
      </w:r>
      <w:r w:rsidRPr="00E635F2">
        <w:rPr>
          <w:noProof/>
        </w:rPr>
        <w:t>, 78.</w:t>
      </w:r>
    </w:p>
    <w:p w14:paraId="1C2B5D31" w14:textId="77777777" w:rsidR="009B653C" w:rsidRPr="00E635F2" w:rsidRDefault="009B653C" w:rsidP="009B653C">
      <w:pPr>
        <w:widowControl w:val="0"/>
        <w:autoSpaceDE w:val="0"/>
        <w:autoSpaceDN w:val="0"/>
        <w:adjustRightInd w:val="0"/>
        <w:ind w:left="640" w:hanging="640"/>
        <w:rPr>
          <w:noProof/>
        </w:rPr>
      </w:pPr>
      <w:r w:rsidRPr="00E635F2">
        <w:rPr>
          <w:noProof/>
        </w:rPr>
        <w:t>[28]</w:t>
      </w:r>
      <w:r w:rsidRPr="00E635F2">
        <w:rPr>
          <w:noProof/>
        </w:rPr>
        <w:tab/>
        <w:t xml:space="preserve">M. Ohbuchi, M. Shibuta, K. Tetsuka, H. Sasaki-Iwaoka, M. Oishi, F. Shimizu, Y. Nagasaka, </w:t>
      </w:r>
      <w:r w:rsidRPr="00E635F2">
        <w:rPr>
          <w:i/>
          <w:iCs/>
          <w:noProof/>
        </w:rPr>
        <w:t>Int. J. Mol. Sci.</w:t>
      </w:r>
      <w:r w:rsidRPr="00E635F2">
        <w:rPr>
          <w:noProof/>
        </w:rPr>
        <w:t xml:space="preserve"> </w:t>
      </w:r>
      <w:r w:rsidRPr="00E635F2">
        <w:rPr>
          <w:b/>
          <w:bCs/>
          <w:noProof/>
        </w:rPr>
        <w:t>2024</w:t>
      </w:r>
      <w:r w:rsidRPr="00E635F2">
        <w:rPr>
          <w:noProof/>
        </w:rPr>
        <w:t xml:space="preserve">, </w:t>
      </w:r>
      <w:r w:rsidRPr="00E635F2">
        <w:rPr>
          <w:i/>
          <w:iCs/>
          <w:noProof/>
        </w:rPr>
        <w:t>25</w:t>
      </w:r>
      <w:r w:rsidRPr="00E635F2">
        <w:rPr>
          <w:noProof/>
        </w:rPr>
        <w:t>, DOI 10.3390/ijms25126496.</w:t>
      </w:r>
    </w:p>
    <w:p w14:paraId="46A2D733" w14:textId="77777777" w:rsidR="009B653C" w:rsidRPr="00E635F2" w:rsidRDefault="009B653C" w:rsidP="009B653C">
      <w:pPr>
        <w:widowControl w:val="0"/>
        <w:autoSpaceDE w:val="0"/>
        <w:autoSpaceDN w:val="0"/>
        <w:adjustRightInd w:val="0"/>
        <w:ind w:left="640" w:hanging="640"/>
        <w:rPr>
          <w:noProof/>
        </w:rPr>
      </w:pPr>
      <w:r w:rsidRPr="00E635F2">
        <w:rPr>
          <w:noProof/>
        </w:rPr>
        <w:t>[29]</w:t>
      </w:r>
      <w:r w:rsidRPr="00E635F2">
        <w:rPr>
          <w:noProof/>
        </w:rPr>
        <w:tab/>
        <w:t xml:space="preserve">H. Bradley, L. E. Markowitz, T. Gibson, G. M. McQuillan, </w:t>
      </w:r>
      <w:r w:rsidRPr="00E635F2">
        <w:rPr>
          <w:i/>
          <w:iCs/>
          <w:noProof/>
        </w:rPr>
        <w:t>J. Infect. Dis.</w:t>
      </w:r>
      <w:r w:rsidRPr="00E635F2">
        <w:rPr>
          <w:noProof/>
        </w:rPr>
        <w:t xml:space="preserve"> </w:t>
      </w:r>
      <w:r w:rsidRPr="00E635F2">
        <w:rPr>
          <w:b/>
          <w:bCs/>
          <w:noProof/>
        </w:rPr>
        <w:t>2014</w:t>
      </w:r>
      <w:r w:rsidRPr="00E635F2">
        <w:rPr>
          <w:noProof/>
        </w:rPr>
        <w:t xml:space="preserve">, </w:t>
      </w:r>
      <w:r w:rsidRPr="00E635F2">
        <w:rPr>
          <w:i/>
          <w:iCs/>
          <w:noProof/>
        </w:rPr>
        <w:t>209</w:t>
      </w:r>
      <w:r w:rsidRPr="00E635F2">
        <w:rPr>
          <w:noProof/>
        </w:rPr>
        <w:t>, 325.</w:t>
      </w:r>
    </w:p>
    <w:p w14:paraId="7026946B" w14:textId="77777777" w:rsidR="009B653C" w:rsidRPr="00E635F2" w:rsidRDefault="009B653C" w:rsidP="009B653C">
      <w:pPr>
        <w:widowControl w:val="0"/>
        <w:autoSpaceDE w:val="0"/>
        <w:autoSpaceDN w:val="0"/>
        <w:adjustRightInd w:val="0"/>
        <w:ind w:left="640" w:hanging="640"/>
        <w:rPr>
          <w:noProof/>
        </w:rPr>
      </w:pPr>
      <w:r w:rsidRPr="00E635F2">
        <w:rPr>
          <w:noProof/>
        </w:rPr>
        <w:t>[30]</w:t>
      </w:r>
      <w:r w:rsidRPr="00E635F2">
        <w:rPr>
          <w:noProof/>
        </w:rPr>
        <w:tab/>
        <w:t xml:space="preserve">K. Linnavuori, T. Hovi, </w:t>
      </w:r>
      <w:r w:rsidRPr="00E635F2">
        <w:rPr>
          <w:i/>
          <w:iCs/>
          <w:noProof/>
        </w:rPr>
        <w:t>J. Gen. Virol.</w:t>
      </w:r>
      <w:r w:rsidRPr="00E635F2">
        <w:rPr>
          <w:noProof/>
        </w:rPr>
        <w:t xml:space="preserve"> </w:t>
      </w:r>
      <w:r w:rsidRPr="00E635F2">
        <w:rPr>
          <w:b/>
          <w:bCs/>
          <w:noProof/>
        </w:rPr>
        <w:t>1981</w:t>
      </w:r>
      <w:r w:rsidRPr="00E635F2">
        <w:rPr>
          <w:noProof/>
        </w:rPr>
        <w:t xml:space="preserve">, </w:t>
      </w:r>
      <w:r w:rsidRPr="00E635F2">
        <w:rPr>
          <w:i/>
          <w:iCs/>
          <w:noProof/>
        </w:rPr>
        <w:t>52</w:t>
      </w:r>
      <w:r w:rsidRPr="00E635F2">
        <w:rPr>
          <w:noProof/>
        </w:rPr>
        <w:t>, 381.</w:t>
      </w:r>
    </w:p>
    <w:p w14:paraId="1318C55C" w14:textId="77777777" w:rsidR="009B653C" w:rsidRPr="00E635F2" w:rsidRDefault="009B653C" w:rsidP="009B653C">
      <w:pPr>
        <w:widowControl w:val="0"/>
        <w:autoSpaceDE w:val="0"/>
        <w:autoSpaceDN w:val="0"/>
        <w:adjustRightInd w:val="0"/>
        <w:ind w:left="640" w:hanging="640"/>
        <w:rPr>
          <w:noProof/>
        </w:rPr>
      </w:pPr>
      <w:r w:rsidRPr="00E635F2">
        <w:rPr>
          <w:noProof/>
        </w:rPr>
        <w:t>[31]</w:t>
      </w:r>
      <w:r w:rsidRPr="00E635F2">
        <w:rPr>
          <w:noProof/>
        </w:rPr>
        <w:tab/>
        <w:t xml:space="preserve">M. D. Caverzán, L. Beaugé, P. M. Oliveda, B. Cesca González, E. M. Bühler, L. E. Ibarra, </w:t>
      </w:r>
      <w:r w:rsidRPr="00E635F2">
        <w:rPr>
          <w:i/>
          <w:iCs/>
          <w:noProof/>
        </w:rPr>
        <w:t>Brain Sci.</w:t>
      </w:r>
      <w:r w:rsidRPr="00E635F2">
        <w:rPr>
          <w:noProof/>
        </w:rPr>
        <w:t xml:space="preserve"> </w:t>
      </w:r>
      <w:r w:rsidRPr="00E635F2">
        <w:rPr>
          <w:b/>
          <w:bCs/>
          <w:noProof/>
        </w:rPr>
        <w:t>2023</w:t>
      </w:r>
      <w:r w:rsidRPr="00E635F2">
        <w:rPr>
          <w:noProof/>
        </w:rPr>
        <w:t xml:space="preserve">, </w:t>
      </w:r>
      <w:r w:rsidRPr="00E635F2">
        <w:rPr>
          <w:i/>
          <w:iCs/>
          <w:noProof/>
        </w:rPr>
        <w:t>13</w:t>
      </w:r>
      <w:r w:rsidRPr="00E635F2">
        <w:rPr>
          <w:noProof/>
        </w:rPr>
        <w:t>, DOI 10.3390/brainsci13040542.</w:t>
      </w:r>
    </w:p>
    <w:p w14:paraId="385810E5" w14:textId="77777777" w:rsidR="009B653C" w:rsidRPr="00C441C3" w:rsidRDefault="009B653C" w:rsidP="009B653C">
      <w:pPr>
        <w:widowControl w:val="0"/>
        <w:autoSpaceDE w:val="0"/>
        <w:autoSpaceDN w:val="0"/>
        <w:adjustRightInd w:val="0"/>
        <w:ind w:left="640" w:hanging="640"/>
        <w:rPr>
          <w:noProof/>
          <w:lang w:val="it-IT"/>
        </w:rPr>
      </w:pPr>
      <w:r w:rsidRPr="00C441C3">
        <w:rPr>
          <w:noProof/>
          <w:lang w:val="it-IT"/>
        </w:rPr>
        <w:t>[32]</w:t>
      </w:r>
      <w:r w:rsidRPr="00C441C3">
        <w:rPr>
          <w:noProof/>
          <w:lang w:val="it-IT"/>
        </w:rPr>
        <w:tab/>
        <w:t xml:space="preserve">K. Linnavuori, T. Hovi, </w:t>
      </w:r>
      <w:r w:rsidRPr="00C441C3">
        <w:rPr>
          <w:i/>
          <w:iCs/>
          <w:noProof/>
          <w:lang w:val="it-IT"/>
        </w:rPr>
        <w:t>Virology</w:t>
      </w:r>
      <w:r w:rsidRPr="00C441C3">
        <w:rPr>
          <w:noProof/>
          <w:lang w:val="it-IT"/>
        </w:rPr>
        <w:t xml:space="preserve"> </w:t>
      </w:r>
      <w:r w:rsidRPr="00C441C3">
        <w:rPr>
          <w:b/>
          <w:bCs/>
          <w:noProof/>
          <w:lang w:val="it-IT"/>
        </w:rPr>
        <w:t>1983</w:t>
      </w:r>
      <w:r w:rsidRPr="00C441C3">
        <w:rPr>
          <w:noProof/>
          <w:lang w:val="it-IT"/>
        </w:rPr>
        <w:t xml:space="preserve">, </w:t>
      </w:r>
      <w:r w:rsidRPr="00C441C3">
        <w:rPr>
          <w:i/>
          <w:iCs/>
          <w:noProof/>
          <w:lang w:val="it-IT"/>
        </w:rPr>
        <w:t>130</w:t>
      </w:r>
      <w:r w:rsidRPr="00C441C3">
        <w:rPr>
          <w:noProof/>
          <w:lang w:val="it-IT"/>
        </w:rPr>
        <w:t>, 1.</w:t>
      </w:r>
    </w:p>
    <w:p w14:paraId="258CFD0E" w14:textId="77777777" w:rsidR="009B653C" w:rsidRPr="00E635F2" w:rsidRDefault="009B653C" w:rsidP="009B653C">
      <w:pPr>
        <w:widowControl w:val="0"/>
        <w:autoSpaceDE w:val="0"/>
        <w:autoSpaceDN w:val="0"/>
        <w:adjustRightInd w:val="0"/>
        <w:ind w:left="640" w:hanging="640"/>
        <w:rPr>
          <w:noProof/>
        </w:rPr>
      </w:pPr>
      <w:r w:rsidRPr="00E635F2">
        <w:rPr>
          <w:noProof/>
        </w:rPr>
        <w:t>[33]</w:t>
      </w:r>
      <w:r w:rsidRPr="00E635F2">
        <w:rPr>
          <w:noProof/>
        </w:rPr>
        <w:tab/>
        <w:t xml:space="preserve">Y. Xia, G. M. Whitesides, </w:t>
      </w:r>
      <w:r w:rsidRPr="00E635F2">
        <w:rPr>
          <w:i/>
          <w:iCs/>
          <w:noProof/>
        </w:rPr>
        <w:t>Angew. Chem., Int. Ed. Engl.</w:t>
      </w:r>
      <w:r w:rsidRPr="00E635F2">
        <w:rPr>
          <w:noProof/>
        </w:rPr>
        <w:t xml:space="preserve"> </w:t>
      </w:r>
      <w:r w:rsidRPr="00E635F2">
        <w:rPr>
          <w:b/>
          <w:bCs/>
          <w:noProof/>
        </w:rPr>
        <w:t>1998</w:t>
      </w:r>
      <w:r w:rsidRPr="00E635F2">
        <w:rPr>
          <w:noProof/>
        </w:rPr>
        <w:t xml:space="preserve">, </w:t>
      </w:r>
      <w:r w:rsidRPr="00E635F2">
        <w:rPr>
          <w:i/>
          <w:iCs/>
          <w:noProof/>
        </w:rPr>
        <w:t>37</w:t>
      </w:r>
      <w:r w:rsidRPr="00E635F2">
        <w:rPr>
          <w:noProof/>
        </w:rPr>
        <w:t>, 550.</w:t>
      </w:r>
    </w:p>
    <w:p w14:paraId="2CD4D016" w14:textId="77777777" w:rsidR="009B653C" w:rsidRPr="00E635F2" w:rsidRDefault="009B653C" w:rsidP="009B653C">
      <w:pPr>
        <w:widowControl w:val="0"/>
        <w:autoSpaceDE w:val="0"/>
        <w:autoSpaceDN w:val="0"/>
        <w:adjustRightInd w:val="0"/>
        <w:ind w:left="640" w:hanging="640"/>
        <w:rPr>
          <w:noProof/>
        </w:rPr>
      </w:pPr>
      <w:r w:rsidRPr="00E635F2">
        <w:rPr>
          <w:noProof/>
        </w:rPr>
        <w:t>[34]</w:t>
      </w:r>
      <w:r w:rsidRPr="00E635F2">
        <w:rPr>
          <w:noProof/>
        </w:rPr>
        <w:tab/>
        <w:t xml:space="preserve">B. Peng, Z. Tong, W. Y. Tong, P. J. Pasic, A. Oddo, Y. Dai, M. Luo, J. Frescene, N. G. Welch, C. D. Easton, H. Thissen, N. H. Voelcker, </w:t>
      </w:r>
      <w:r w:rsidRPr="00E635F2">
        <w:rPr>
          <w:i/>
          <w:iCs/>
          <w:noProof/>
        </w:rPr>
        <w:t>ACS Appl. Mater. Interfaces</w:t>
      </w:r>
      <w:r w:rsidRPr="00E635F2">
        <w:rPr>
          <w:noProof/>
        </w:rPr>
        <w:t xml:space="preserve"> </w:t>
      </w:r>
      <w:r w:rsidRPr="00E635F2">
        <w:rPr>
          <w:b/>
          <w:bCs/>
          <w:noProof/>
        </w:rPr>
        <w:t>2020</w:t>
      </w:r>
      <w:r w:rsidRPr="00E635F2">
        <w:rPr>
          <w:noProof/>
        </w:rPr>
        <w:t xml:space="preserve">, </w:t>
      </w:r>
      <w:r w:rsidRPr="00E635F2">
        <w:rPr>
          <w:i/>
          <w:iCs/>
          <w:noProof/>
        </w:rPr>
        <w:t>12</w:t>
      </w:r>
      <w:r w:rsidRPr="00E635F2">
        <w:rPr>
          <w:noProof/>
        </w:rPr>
        <w:t>, 56753.</w:t>
      </w:r>
    </w:p>
    <w:p w14:paraId="7B3FB933" w14:textId="77777777" w:rsidR="009B653C" w:rsidRPr="00C441C3" w:rsidRDefault="009B653C" w:rsidP="009B653C">
      <w:pPr>
        <w:widowControl w:val="0"/>
        <w:autoSpaceDE w:val="0"/>
        <w:autoSpaceDN w:val="0"/>
        <w:adjustRightInd w:val="0"/>
        <w:ind w:left="640" w:hanging="640"/>
        <w:rPr>
          <w:noProof/>
          <w:lang w:val="it-IT"/>
        </w:rPr>
      </w:pPr>
      <w:r w:rsidRPr="00E635F2">
        <w:rPr>
          <w:noProof/>
        </w:rPr>
        <w:t>[35]</w:t>
      </w:r>
      <w:r w:rsidRPr="00E635F2">
        <w:rPr>
          <w:noProof/>
        </w:rPr>
        <w:tab/>
        <w:t xml:space="preserve">W. Y. Chan, Y. Ding, J. Y. Tu, in </w:t>
      </w:r>
      <w:r w:rsidRPr="00E635F2">
        <w:rPr>
          <w:i/>
          <w:iCs/>
          <w:noProof/>
        </w:rPr>
        <w:t>Proc. 7th Bienn. Eng. Math. Appl. Conf. EMAC-2005</w:t>
      </w:r>
      <w:r w:rsidRPr="00E635F2">
        <w:rPr>
          <w:noProof/>
        </w:rPr>
        <w:t xml:space="preserve"> (Eds: A. Stacey, B. Blyth, J. Shepherd, A.J. Roberts), </w:t>
      </w:r>
      <w:r w:rsidRPr="00E635F2">
        <w:rPr>
          <w:b/>
          <w:bCs/>
          <w:noProof/>
        </w:rPr>
        <w:t>2007</w:t>
      </w:r>
      <w:r w:rsidRPr="00E635F2">
        <w:rPr>
          <w:noProof/>
        </w:rPr>
        <w:t xml:space="preserve">, pp. </w:t>
      </w:r>
      <w:r w:rsidRPr="00C441C3">
        <w:rPr>
          <w:noProof/>
          <w:lang w:val="it-IT"/>
        </w:rPr>
        <w:t>C507--C523.</w:t>
      </w:r>
    </w:p>
    <w:p w14:paraId="56B0D83B" w14:textId="77777777" w:rsidR="009B653C" w:rsidRPr="00C441C3" w:rsidRDefault="009B653C" w:rsidP="009B653C">
      <w:pPr>
        <w:widowControl w:val="0"/>
        <w:autoSpaceDE w:val="0"/>
        <w:autoSpaceDN w:val="0"/>
        <w:adjustRightInd w:val="0"/>
        <w:ind w:left="640" w:hanging="640"/>
        <w:rPr>
          <w:noProof/>
          <w:lang w:val="it-IT"/>
        </w:rPr>
      </w:pPr>
      <w:r w:rsidRPr="00C441C3">
        <w:rPr>
          <w:noProof/>
          <w:lang w:val="it-IT"/>
        </w:rPr>
        <w:t>[36]</w:t>
      </w:r>
      <w:r w:rsidRPr="00C441C3">
        <w:rPr>
          <w:noProof/>
          <w:lang w:val="it-IT"/>
        </w:rPr>
        <w:tab/>
        <w:t xml:space="preserve">S. Micheli, P. Mocellin, M. Sorgato, L. Bova, E. Cimetta, </w:t>
      </w:r>
      <w:r w:rsidRPr="00C441C3">
        <w:rPr>
          <w:i/>
          <w:iCs/>
          <w:noProof/>
          <w:lang w:val="it-IT"/>
        </w:rPr>
        <w:t>Biochem. Eng. J.</w:t>
      </w:r>
      <w:r w:rsidRPr="00C441C3">
        <w:rPr>
          <w:noProof/>
          <w:lang w:val="it-IT"/>
        </w:rPr>
        <w:t xml:space="preserve"> </w:t>
      </w:r>
      <w:r w:rsidRPr="00C441C3">
        <w:rPr>
          <w:b/>
          <w:bCs/>
          <w:noProof/>
          <w:lang w:val="it-IT"/>
        </w:rPr>
        <w:t>2022</w:t>
      </w:r>
      <w:r w:rsidRPr="00C441C3">
        <w:rPr>
          <w:noProof/>
          <w:lang w:val="it-IT"/>
        </w:rPr>
        <w:t xml:space="preserve">, </w:t>
      </w:r>
      <w:r w:rsidRPr="00C441C3">
        <w:rPr>
          <w:i/>
          <w:iCs/>
          <w:noProof/>
          <w:lang w:val="it-IT"/>
        </w:rPr>
        <w:t>181</w:t>
      </w:r>
      <w:r w:rsidRPr="00C441C3">
        <w:rPr>
          <w:noProof/>
          <w:lang w:val="it-IT"/>
        </w:rPr>
        <w:t>, 108415.</w:t>
      </w:r>
    </w:p>
    <w:p w14:paraId="59642F44" w14:textId="77777777" w:rsidR="009B653C" w:rsidRPr="00C441C3" w:rsidRDefault="009B653C" w:rsidP="009B653C">
      <w:pPr>
        <w:widowControl w:val="0"/>
        <w:autoSpaceDE w:val="0"/>
        <w:autoSpaceDN w:val="0"/>
        <w:adjustRightInd w:val="0"/>
        <w:ind w:left="640" w:hanging="640"/>
        <w:rPr>
          <w:noProof/>
          <w:lang w:val="it-IT"/>
        </w:rPr>
      </w:pPr>
      <w:r w:rsidRPr="00C441C3">
        <w:rPr>
          <w:noProof/>
          <w:lang w:val="it-IT"/>
        </w:rPr>
        <w:t>[37]</w:t>
      </w:r>
      <w:r w:rsidRPr="00C441C3">
        <w:rPr>
          <w:noProof/>
          <w:lang w:val="it-IT"/>
        </w:rPr>
        <w:tab/>
        <w:t xml:space="preserve">V. Zingales, C. Piunti, S. Micheli, E. Cimetta, M.-J. Ruiz, </w:t>
      </w:r>
      <w:r w:rsidRPr="00C441C3">
        <w:rPr>
          <w:i/>
          <w:iCs/>
          <w:noProof/>
          <w:lang w:val="it-IT"/>
        </w:rPr>
        <w:t>Foods</w:t>
      </w:r>
      <w:r w:rsidRPr="00C441C3">
        <w:rPr>
          <w:noProof/>
          <w:lang w:val="it-IT"/>
        </w:rPr>
        <w:t xml:space="preserve"> </w:t>
      </w:r>
      <w:r w:rsidRPr="00C441C3">
        <w:rPr>
          <w:b/>
          <w:bCs/>
          <w:noProof/>
          <w:lang w:val="it-IT"/>
        </w:rPr>
        <w:t>2024</w:t>
      </w:r>
      <w:r w:rsidRPr="00C441C3">
        <w:rPr>
          <w:noProof/>
          <w:lang w:val="it-IT"/>
        </w:rPr>
        <w:t xml:space="preserve">, </w:t>
      </w:r>
      <w:r w:rsidRPr="00C441C3">
        <w:rPr>
          <w:i/>
          <w:iCs/>
          <w:noProof/>
          <w:lang w:val="it-IT"/>
        </w:rPr>
        <w:t>13</w:t>
      </w:r>
      <w:r w:rsidRPr="00C441C3">
        <w:rPr>
          <w:noProof/>
          <w:lang w:val="it-IT"/>
        </w:rPr>
        <w:t>, DOI 10.3390/foods13244167.</w:t>
      </w:r>
    </w:p>
    <w:p w14:paraId="737629C1" w14:textId="77777777" w:rsidR="009B653C" w:rsidRPr="00E635F2" w:rsidRDefault="009B653C" w:rsidP="009B653C">
      <w:pPr>
        <w:widowControl w:val="0"/>
        <w:autoSpaceDE w:val="0"/>
        <w:autoSpaceDN w:val="0"/>
        <w:adjustRightInd w:val="0"/>
        <w:ind w:left="640" w:hanging="640"/>
        <w:rPr>
          <w:noProof/>
        </w:rPr>
      </w:pPr>
      <w:r w:rsidRPr="00E635F2">
        <w:rPr>
          <w:noProof/>
        </w:rPr>
        <w:t>[38]</w:t>
      </w:r>
      <w:r w:rsidRPr="00E635F2">
        <w:rPr>
          <w:noProof/>
        </w:rPr>
        <w:tab/>
        <w:t xml:space="preserve">F. Piccinini, </w:t>
      </w:r>
      <w:r w:rsidRPr="00E635F2">
        <w:rPr>
          <w:i/>
          <w:iCs/>
          <w:noProof/>
        </w:rPr>
        <w:t>Comput. Methods Programs Biomed.</w:t>
      </w:r>
      <w:r w:rsidRPr="00E635F2">
        <w:rPr>
          <w:noProof/>
        </w:rPr>
        <w:t xml:space="preserve"> </w:t>
      </w:r>
      <w:r w:rsidRPr="00E635F2">
        <w:rPr>
          <w:b/>
          <w:bCs/>
          <w:noProof/>
        </w:rPr>
        <w:t>2015</w:t>
      </w:r>
      <w:r w:rsidRPr="00E635F2">
        <w:rPr>
          <w:noProof/>
        </w:rPr>
        <w:t xml:space="preserve">, </w:t>
      </w:r>
      <w:r w:rsidRPr="00E635F2">
        <w:rPr>
          <w:i/>
          <w:iCs/>
          <w:noProof/>
        </w:rPr>
        <w:t>119</w:t>
      </w:r>
      <w:r w:rsidRPr="00E635F2">
        <w:rPr>
          <w:noProof/>
        </w:rPr>
        <w:t>, 43.</w:t>
      </w:r>
    </w:p>
    <w:p w14:paraId="172CBA17" w14:textId="77777777" w:rsidR="009B653C" w:rsidRPr="00E635F2" w:rsidRDefault="009B653C" w:rsidP="009B653C">
      <w:pPr>
        <w:widowControl w:val="0"/>
        <w:autoSpaceDE w:val="0"/>
        <w:autoSpaceDN w:val="0"/>
        <w:adjustRightInd w:val="0"/>
        <w:ind w:left="640" w:hanging="640"/>
        <w:rPr>
          <w:noProof/>
        </w:rPr>
      </w:pPr>
      <w:r w:rsidRPr="00E635F2">
        <w:rPr>
          <w:noProof/>
        </w:rPr>
        <w:t>[39]</w:t>
      </w:r>
      <w:r w:rsidRPr="00E635F2">
        <w:rPr>
          <w:noProof/>
        </w:rPr>
        <w:tab/>
        <w:t xml:space="preserve">B. K. Tischer, J. von Einem, B. Kaufer, N. Osterrieder, </w:t>
      </w:r>
      <w:r w:rsidRPr="00E635F2">
        <w:rPr>
          <w:i/>
          <w:iCs/>
          <w:noProof/>
        </w:rPr>
        <w:t>Biotechniques</w:t>
      </w:r>
      <w:r w:rsidRPr="00E635F2">
        <w:rPr>
          <w:noProof/>
        </w:rPr>
        <w:t xml:space="preserve"> </w:t>
      </w:r>
      <w:r w:rsidRPr="00E635F2">
        <w:rPr>
          <w:b/>
          <w:bCs/>
          <w:noProof/>
        </w:rPr>
        <w:t>2006</w:t>
      </w:r>
      <w:r w:rsidRPr="00E635F2">
        <w:rPr>
          <w:noProof/>
        </w:rPr>
        <w:t xml:space="preserve">, </w:t>
      </w:r>
      <w:r w:rsidRPr="00E635F2">
        <w:rPr>
          <w:i/>
          <w:iCs/>
          <w:noProof/>
        </w:rPr>
        <w:t>40</w:t>
      </w:r>
      <w:r w:rsidRPr="00E635F2">
        <w:rPr>
          <w:noProof/>
        </w:rPr>
        <w:t>, 191.</w:t>
      </w:r>
    </w:p>
    <w:p w14:paraId="29EBCA44" w14:textId="77777777" w:rsidR="009B653C" w:rsidRPr="00C441C3" w:rsidRDefault="009B653C" w:rsidP="009B653C">
      <w:pPr>
        <w:widowControl w:val="0"/>
        <w:autoSpaceDE w:val="0"/>
        <w:autoSpaceDN w:val="0"/>
        <w:adjustRightInd w:val="0"/>
        <w:ind w:left="640" w:hanging="640"/>
        <w:rPr>
          <w:noProof/>
          <w:lang w:val="it-IT"/>
        </w:rPr>
      </w:pPr>
      <w:r w:rsidRPr="00C441C3">
        <w:rPr>
          <w:noProof/>
          <w:lang w:val="it-IT"/>
        </w:rPr>
        <w:t>[40]</w:t>
      </w:r>
      <w:r w:rsidRPr="00C441C3">
        <w:rPr>
          <w:noProof/>
          <w:lang w:val="it-IT"/>
        </w:rPr>
        <w:tab/>
        <w:t xml:space="preserve">A. Vitiello, A. Reale, V. Conciatori, A. Vicco, A. Garzino-Demo, G. Palù, C. Parolin, J. von Einem, A. Calistri, </w:t>
      </w:r>
      <w:r w:rsidRPr="00C441C3">
        <w:rPr>
          <w:i/>
          <w:iCs/>
          <w:noProof/>
          <w:lang w:val="it-IT"/>
        </w:rPr>
        <w:t>Biomedicines</w:t>
      </w:r>
      <w:r w:rsidRPr="00C441C3">
        <w:rPr>
          <w:noProof/>
          <w:lang w:val="it-IT"/>
        </w:rPr>
        <w:t xml:space="preserve"> </w:t>
      </w:r>
      <w:r w:rsidRPr="00C441C3">
        <w:rPr>
          <w:b/>
          <w:bCs/>
          <w:noProof/>
          <w:lang w:val="it-IT"/>
        </w:rPr>
        <w:t>2024</w:t>
      </w:r>
      <w:r w:rsidRPr="00C441C3">
        <w:rPr>
          <w:noProof/>
          <w:lang w:val="it-IT"/>
        </w:rPr>
        <w:t xml:space="preserve">, </w:t>
      </w:r>
      <w:r w:rsidRPr="00C441C3">
        <w:rPr>
          <w:i/>
          <w:iCs/>
          <w:noProof/>
          <w:lang w:val="it-IT"/>
        </w:rPr>
        <w:t>12</w:t>
      </w:r>
      <w:r w:rsidRPr="00C441C3">
        <w:rPr>
          <w:noProof/>
          <w:lang w:val="it-IT"/>
        </w:rPr>
        <w:t>, DOI 10.3390/biomedicines12071577.</w:t>
      </w:r>
    </w:p>
    <w:p w14:paraId="55BB583C" w14:textId="77777777" w:rsidR="009B653C" w:rsidRPr="00E635F2" w:rsidRDefault="009B653C" w:rsidP="009B653C">
      <w:pPr>
        <w:widowControl w:val="0"/>
        <w:autoSpaceDE w:val="0"/>
        <w:autoSpaceDN w:val="0"/>
        <w:adjustRightInd w:val="0"/>
        <w:ind w:left="640" w:hanging="640"/>
        <w:rPr>
          <w:noProof/>
        </w:rPr>
      </w:pPr>
      <w:r w:rsidRPr="00E635F2">
        <w:rPr>
          <w:noProof/>
        </w:rPr>
        <w:lastRenderedPageBreak/>
        <w:t>[41]</w:t>
      </w:r>
      <w:r w:rsidRPr="00E635F2">
        <w:rPr>
          <w:noProof/>
        </w:rPr>
        <w:tab/>
        <w:t xml:space="preserve">A. J. Ulmer, H. D. Flad, </w:t>
      </w:r>
      <w:r w:rsidRPr="00E635F2">
        <w:rPr>
          <w:i/>
          <w:iCs/>
          <w:noProof/>
        </w:rPr>
        <w:t>J. Immunol. Methods</w:t>
      </w:r>
      <w:r w:rsidRPr="00E635F2">
        <w:rPr>
          <w:noProof/>
        </w:rPr>
        <w:t xml:space="preserve"> </w:t>
      </w:r>
      <w:r w:rsidRPr="00E635F2">
        <w:rPr>
          <w:b/>
          <w:bCs/>
          <w:noProof/>
        </w:rPr>
        <w:t>1979</w:t>
      </w:r>
      <w:r w:rsidRPr="00E635F2">
        <w:rPr>
          <w:noProof/>
        </w:rPr>
        <w:t xml:space="preserve">, </w:t>
      </w:r>
      <w:r w:rsidRPr="00E635F2">
        <w:rPr>
          <w:i/>
          <w:iCs/>
          <w:noProof/>
        </w:rPr>
        <w:t>30</w:t>
      </w:r>
      <w:r w:rsidRPr="00E635F2">
        <w:rPr>
          <w:noProof/>
        </w:rPr>
        <w:t>, 1.</w:t>
      </w:r>
    </w:p>
    <w:p w14:paraId="0000007C" w14:textId="70F1D49D" w:rsidR="00C314E0" w:rsidRPr="00E635F2" w:rsidRDefault="002E093C" w:rsidP="00F23AEA">
      <w:pPr>
        <w:pBdr>
          <w:top w:val="nil"/>
          <w:left w:val="nil"/>
          <w:bottom w:val="nil"/>
          <w:right w:val="nil"/>
          <w:between w:val="nil"/>
        </w:pBdr>
        <w:spacing w:line="276" w:lineRule="auto"/>
        <w:jc w:val="both"/>
        <w:rPr>
          <w:color w:val="000000"/>
        </w:rPr>
      </w:pPr>
      <w:r w:rsidRPr="00E635F2">
        <w:rPr>
          <w:color w:val="000000"/>
        </w:rPr>
        <w:fldChar w:fldCharType="end"/>
      </w:r>
    </w:p>
    <w:sectPr w:rsidR="00C314E0" w:rsidRPr="00E635F2">
      <w:headerReference w:type="default" r:id="rId17"/>
      <w:footerReference w:type="default" r:id="rId18"/>
      <w:pgSz w:w="11906" w:h="16838"/>
      <w:pgMar w:top="1418"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26E1B9" w14:textId="77777777" w:rsidR="00751470" w:rsidRDefault="00751470">
      <w:r>
        <w:separator/>
      </w:r>
    </w:p>
  </w:endnote>
  <w:endnote w:type="continuationSeparator" w:id="0">
    <w:p w14:paraId="05902418" w14:textId="77777777" w:rsidR="00751470" w:rsidRDefault="007514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0000500000000020000"/>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8" w14:textId="01F60D16" w:rsidR="0061797E" w:rsidRDefault="0061797E">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sidR="009B2BD8">
      <w:rPr>
        <w:noProof/>
        <w:color w:val="000000"/>
      </w:rPr>
      <w:t>17</w:t>
    </w:r>
    <w:r>
      <w:rPr>
        <w:color w:val="000000"/>
      </w:rPr>
      <w:fldChar w:fldCharType="end"/>
    </w:r>
  </w:p>
  <w:p w14:paraId="000000A9" w14:textId="77777777" w:rsidR="0061797E" w:rsidRDefault="0061797E">
    <w:pPr>
      <w:pBdr>
        <w:top w:val="nil"/>
        <w:left w:val="nil"/>
        <w:bottom w:val="nil"/>
        <w:right w:val="nil"/>
        <w:between w:val="nil"/>
      </w:pBdr>
      <w:tabs>
        <w:tab w:val="center" w:pos="4536"/>
        <w:tab w:val="right" w:pos="9072"/>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5A0F3B" w14:textId="77777777" w:rsidR="00751470" w:rsidRDefault="00751470">
      <w:r>
        <w:separator/>
      </w:r>
    </w:p>
  </w:footnote>
  <w:footnote w:type="continuationSeparator" w:id="0">
    <w:p w14:paraId="5FE5D218" w14:textId="77777777" w:rsidR="00751470" w:rsidRDefault="007514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7" w14:textId="77777777" w:rsidR="0061797E" w:rsidRDefault="0061797E">
    <w:pPr>
      <w:pBdr>
        <w:top w:val="nil"/>
        <w:left w:val="nil"/>
        <w:bottom w:val="nil"/>
        <w:right w:val="nil"/>
        <w:between w:val="nil"/>
      </w:pBdr>
      <w:tabs>
        <w:tab w:val="center" w:pos="4536"/>
        <w:tab w:val="right" w:pos="9072"/>
        <w:tab w:val="left" w:pos="5003"/>
      </w:tabs>
      <w:jc w:val="right"/>
      <w:rPr>
        <w:color w:val="000000"/>
      </w:rPr>
    </w:pPr>
    <w:r>
      <w:rPr>
        <w:color w:val="000000"/>
      </w:rPr>
      <w:tab/>
    </w:r>
    <w:r>
      <w:rPr>
        <w:noProof/>
        <w:color w:val="000000"/>
        <w:lang w:eastAsia="en-US"/>
      </w:rPr>
      <w:drawing>
        <wp:inline distT="0" distB="0" distL="0" distR="0" wp14:anchorId="10E704EB" wp14:editId="09B45961">
          <wp:extent cx="1488440" cy="414655"/>
          <wp:effectExtent l="0" t="0" r="0" b="0"/>
          <wp:docPr id="20" name="image5.jpg" descr="Wiley-VCH_2"/>
          <wp:cNvGraphicFramePr/>
          <a:graphic xmlns:a="http://schemas.openxmlformats.org/drawingml/2006/main">
            <a:graphicData uri="http://schemas.openxmlformats.org/drawingml/2006/picture">
              <pic:pic xmlns:pic="http://schemas.openxmlformats.org/drawingml/2006/picture">
                <pic:nvPicPr>
                  <pic:cNvPr id="0" name="image5.jpg" descr="Wiley-VCH_2"/>
                  <pic:cNvPicPr preferRelativeResize="0"/>
                </pic:nvPicPr>
                <pic:blipFill>
                  <a:blip r:embed="rId1"/>
                  <a:srcRect/>
                  <a:stretch>
                    <a:fillRect/>
                  </a:stretch>
                </pic:blipFill>
                <pic:spPr>
                  <a:xfrm>
                    <a:off x="0" y="0"/>
                    <a:ext cx="1488440" cy="41465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283D57"/>
    <w:multiLevelType w:val="multilevel"/>
    <w:tmpl w:val="D722CE12"/>
    <w:lvl w:ilvl="0">
      <w:start w:val="3"/>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1BAC525A"/>
    <w:multiLevelType w:val="multilevel"/>
    <w:tmpl w:val="3A74D03C"/>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278E198F"/>
    <w:multiLevelType w:val="hybridMultilevel"/>
    <w:tmpl w:val="B60EE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53F65DE"/>
    <w:multiLevelType w:val="hybridMultilevel"/>
    <w:tmpl w:val="AA5C1B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46391562">
    <w:abstractNumId w:val="1"/>
  </w:num>
  <w:num w:numId="2" w16cid:durableId="734206245">
    <w:abstractNumId w:val="0"/>
  </w:num>
  <w:num w:numId="3" w16cid:durableId="263809975">
    <w:abstractNumId w:val="2"/>
  </w:num>
  <w:num w:numId="4" w16cid:durableId="18149837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14E0"/>
    <w:rsid w:val="00010E91"/>
    <w:rsid w:val="000132F9"/>
    <w:rsid w:val="00025A9C"/>
    <w:rsid w:val="00026A1E"/>
    <w:rsid w:val="00033BF9"/>
    <w:rsid w:val="0004107D"/>
    <w:rsid w:val="000524E6"/>
    <w:rsid w:val="0005490B"/>
    <w:rsid w:val="00055EC5"/>
    <w:rsid w:val="000743F6"/>
    <w:rsid w:val="00082F66"/>
    <w:rsid w:val="00083C29"/>
    <w:rsid w:val="00085256"/>
    <w:rsid w:val="00086237"/>
    <w:rsid w:val="00090D01"/>
    <w:rsid w:val="00095069"/>
    <w:rsid w:val="00097940"/>
    <w:rsid w:val="000A6C6E"/>
    <w:rsid w:val="000B46C5"/>
    <w:rsid w:val="000B7E74"/>
    <w:rsid w:val="000D41AC"/>
    <w:rsid w:val="000E13BE"/>
    <w:rsid w:val="000E4A53"/>
    <w:rsid w:val="000E6004"/>
    <w:rsid w:val="000E651E"/>
    <w:rsid w:val="000F0F5F"/>
    <w:rsid w:val="000F2CC8"/>
    <w:rsid w:val="00102DD1"/>
    <w:rsid w:val="0010326D"/>
    <w:rsid w:val="001052CD"/>
    <w:rsid w:val="00113AE5"/>
    <w:rsid w:val="00114A16"/>
    <w:rsid w:val="00130206"/>
    <w:rsid w:val="001307E1"/>
    <w:rsid w:val="001307F5"/>
    <w:rsid w:val="001371B5"/>
    <w:rsid w:val="0014650F"/>
    <w:rsid w:val="001514F8"/>
    <w:rsid w:val="0015676C"/>
    <w:rsid w:val="001628B3"/>
    <w:rsid w:val="0016385E"/>
    <w:rsid w:val="00164D18"/>
    <w:rsid w:val="00171C4F"/>
    <w:rsid w:val="001735DE"/>
    <w:rsid w:val="0017450C"/>
    <w:rsid w:val="0018350D"/>
    <w:rsid w:val="00185B3E"/>
    <w:rsid w:val="00187E23"/>
    <w:rsid w:val="00192179"/>
    <w:rsid w:val="00192CEE"/>
    <w:rsid w:val="00192E47"/>
    <w:rsid w:val="001B257C"/>
    <w:rsid w:val="001B6614"/>
    <w:rsid w:val="001C2254"/>
    <w:rsid w:val="001C73FF"/>
    <w:rsid w:val="001D3EDF"/>
    <w:rsid w:val="001D5EEE"/>
    <w:rsid w:val="001D6B1C"/>
    <w:rsid w:val="001E10ED"/>
    <w:rsid w:val="001E434C"/>
    <w:rsid w:val="001E4573"/>
    <w:rsid w:val="001E5400"/>
    <w:rsid w:val="001F36AC"/>
    <w:rsid w:val="001F7164"/>
    <w:rsid w:val="001F7AEE"/>
    <w:rsid w:val="00205E33"/>
    <w:rsid w:val="00211AEB"/>
    <w:rsid w:val="00211E86"/>
    <w:rsid w:val="0021359F"/>
    <w:rsid w:val="002147E7"/>
    <w:rsid w:val="00214816"/>
    <w:rsid w:val="002155C9"/>
    <w:rsid w:val="002157C8"/>
    <w:rsid w:val="00220727"/>
    <w:rsid w:val="00221D81"/>
    <w:rsid w:val="00222A2E"/>
    <w:rsid w:val="00225D47"/>
    <w:rsid w:val="0023006B"/>
    <w:rsid w:val="00237507"/>
    <w:rsid w:val="00237717"/>
    <w:rsid w:val="00241995"/>
    <w:rsid w:val="00243E1F"/>
    <w:rsid w:val="00245BF8"/>
    <w:rsid w:val="00246A01"/>
    <w:rsid w:val="00247501"/>
    <w:rsid w:val="00253AF6"/>
    <w:rsid w:val="002739FF"/>
    <w:rsid w:val="002741E0"/>
    <w:rsid w:val="00274321"/>
    <w:rsid w:val="00275234"/>
    <w:rsid w:val="0027734C"/>
    <w:rsid w:val="002818F6"/>
    <w:rsid w:val="00283861"/>
    <w:rsid w:val="00284867"/>
    <w:rsid w:val="002858DB"/>
    <w:rsid w:val="00294CB5"/>
    <w:rsid w:val="00295AA2"/>
    <w:rsid w:val="0029611A"/>
    <w:rsid w:val="0029693F"/>
    <w:rsid w:val="002A2A69"/>
    <w:rsid w:val="002B24E6"/>
    <w:rsid w:val="002B326B"/>
    <w:rsid w:val="002C005B"/>
    <w:rsid w:val="002C3189"/>
    <w:rsid w:val="002D561D"/>
    <w:rsid w:val="002E093C"/>
    <w:rsid w:val="002E0A7D"/>
    <w:rsid w:val="002E13B7"/>
    <w:rsid w:val="002E2765"/>
    <w:rsid w:val="002E710B"/>
    <w:rsid w:val="002F155C"/>
    <w:rsid w:val="002F37C0"/>
    <w:rsid w:val="002F7489"/>
    <w:rsid w:val="00303F1F"/>
    <w:rsid w:val="00307D3C"/>
    <w:rsid w:val="0031109E"/>
    <w:rsid w:val="0031633B"/>
    <w:rsid w:val="00320D64"/>
    <w:rsid w:val="003210B7"/>
    <w:rsid w:val="00326813"/>
    <w:rsid w:val="0033058E"/>
    <w:rsid w:val="00332577"/>
    <w:rsid w:val="00334629"/>
    <w:rsid w:val="003430C7"/>
    <w:rsid w:val="00354EDE"/>
    <w:rsid w:val="00355576"/>
    <w:rsid w:val="00363D1D"/>
    <w:rsid w:val="00365D7D"/>
    <w:rsid w:val="00366A80"/>
    <w:rsid w:val="00370C99"/>
    <w:rsid w:val="00371329"/>
    <w:rsid w:val="00374610"/>
    <w:rsid w:val="00382543"/>
    <w:rsid w:val="00384BB9"/>
    <w:rsid w:val="00387278"/>
    <w:rsid w:val="0039460B"/>
    <w:rsid w:val="00395BEC"/>
    <w:rsid w:val="003A178C"/>
    <w:rsid w:val="003A7E46"/>
    <w:rsid w:val="003B025C"/>
    <w:rsid w:val="003B3AF3"/>
    <w:rsid w:val="003B3D6C"/>
    <w:rsid w:val="003B4C49"/>
    <w:rsid w:val="003B7B65"/>
    <w:rsid w:val="003D10DF"/>
    <w:rsid w:val="003D1FA8"/>
    <w:rsid w:val="003D595D"/>
    <w:rsid w:val="003D5A41"/>
    <w:rsid w:val="003E475E"/>
    <w:rsid w:val="003E7310"/>
    <w:rsid w:val="003F5778"/>
    <w:rsid w:val="003F5931"/>
    <w:rsid w:val="003F5A15"/>
    <w:rsid w:val="0040701D"/>
    <w:rsid w:val="0042218F"/>
    <w:rsid w:val="00426E42"/>
    <w:rsid w:val="004335D5"/>
    <w:rsid w:val="0043647A"/>
    <w:rsid w:val="004409F2"/>
    <w:rsid w:val="00444606"/>
    <w:rsid w:val="004637E1"/>
    <w:rsid w:val="004664F6"/>
    <w:rsid w:val="0046714E"/>
    <w:rsid w:val="00473E1C"/>
    <w:rsid w:val="00485090"/>
    <w:rsid w:val="00485739"/>
    <w:rsid w:val="004910FC"/>
    <w:rsid w:val="00493D6A"/>
    <w:rsid w:val="0049639E"/>
    <w:rsid w:val="004A05F2"/>
    <w:rsid w:val="004A2B0E"/>
    <w:rsid w:val="004A3081"/>
    <w:rsid w:val="004A34F8"/>
    <w:rsid w:val="004A715E"/>
    <w:rsid w:val="004B1E7F"/>
    <w:rsid w:val="004B217B"/>
    <w:rsid w:val="004C5561"/>
    <w:rsid w:val="004C70D5"/>
    <w:rsid w:val="004C737D"/>
    <w:rsid w:val="004D18B1"/>
    <w:rsid w:val="004D473A"/>
    <w:rsid w:val="004D5D40"/>
    <w:rsid w:val="004E1B94"/>
    <w:rsid w:val="004E1D77"/>
    <w:rsid w:val="004E1DCE"/>
    <w:rsid w:val="004F2707"/>
    <w:rsid w:val="004F3E73"/>
    <w:rsid w:val="004F7E1C"/>
    <w:rsid w:val="00500BFD"/>
    <w:rsid w:val="0050182D"/>
    <w:rsid w:val="005122E9"/>
    <w:rsid w:val="0051441D"/>
    <w:rsid w:val="00523832"/>
    <w:rsid w:val="00524E86"/>
    <w:rsid w:val="00531170"/>
    <w:rsid w:val="005319E8"/>
    <w:rsid w:val="0053427A"/>
    <w:rsid w:val="00536327"/>
    <w:rsid w:val="00537163"/>
    <w:rsid w:val="00540379"/>
    <w:rsid w:val="00541224"/>
    <w:rsid w:val="00541E7A"/>
    <w:rsid w:val="005439AF"/>
    <w:rsid w:val="005451CB"/>
    <w:rsid w:val="005455F0"/>
    <w:rsid w:val="0056325D"/>
    <w:rsid w:val="00564083"/>
    <w:rsid w:val="00573F3E"/>
    <w:rsid w:val="00576B74"/>
    <w:rsid w:val="00582414"/>
    <w:rsid w:val="00590D32"/>
    <w:rsid w:val="005A4309"/>
    <w:rsid w:val="005A4D30"/>
    <w:rsid w:val="005A66F8"/>
    <w:rsid w:val="005A7EC0"/>
    <w:rsid w:val="005B4786"/>
    <w:rsid w:val="005C4AB3"/>
    <w:rsid w:val="005D26B2"/>
    <w:rsid w:val="005D3921"/>
    <w:rsid w:val="005D4F76"/>
    <w:rsid w:val="005E74D2"/>
    <w:rsid w:val="005E7A71"/>
    <w:rsid w:val="005F50B9"/>
    <w:rsid w:val="005F6E6A"/>
    <w:rsid w:val="00600A78"/>
    <w:rsid w:val="0060145A"/>
    <w:rsid w:val="00602C37"/>
    <w:rsid w:val="00606EAC"/>
    <w:rsid w:val="00607AFB"/>
    <w:rsid w:val="00614C02"/>
    <w:rsid w:val="0061797E"/>
    <w:rsid w:val="006204E2"/>
    <w:rsid w:val="00621E63"/>
    <w:rsid w:val="00622264"/>
    <w:rsid w:val="0062435D"/>
    <w:rsid w:val="006249A6"/>
    <w:rsid w:val="00627466"/>
    <w:rsid w:val="00635E9C"/>
    <w:rsid w:val="00640799"/>
    <w:rsid w:val="006429AC"/>
    <w:rsid w:val="006448EE"/>
    <w:rsid w:val="0064559B"/>
    <w:rsid w:val="0064562E"/>
    <w:rsid w:val="006470F4"/>
    <w:rsid w:val="00655553"/>
    <w:rsid w:val="0065658E"/>
    <w:rsid w:val="00660564"/>
    <w:rsid w:val="00665D03"/>
    <w:rsid w:val="00667BED"/>
    <w:rsid w:val="006766DC"/>
    <w:rsid w:val="00677B7C"/>
    <w:rsid w:val="00684E9E"/>
    <w:rsid w:val="00686498"/>
    <w:rsid w:val="00694379"/>
    <w:rsid w:val="006A0674"/>
    <w:rsid w:val="006A07E6"/>
    <w:rsid w:val="006A55BF"/>
    <w:rsid w:val="006B2780"/>
    <w:rsid w:val="006C1A47"/>
    <w:rsid w:val="006C2357"/>
    <w:rsid w:val="006D0387"/>
    <w:rsid w:val="006D210A"/>
    <w:rsid w:val="006E2185"/>
    <w:rsid w:val="006E2F46"/>
    <w:rsid w:val="006E7CF5"/>
    <w:rsid w:val="006F4A76"/>
    <w:rsid w:val="006F4DF7"/>
    <w:rsid w:val="006F764C"/>
    <w:rsid w:val="00702C75"/>
    <w:rsid w:val="00712F76"/>
    <w:rsid w:val="0071785D"/>
    <w:rsid w:val="007433FF"/>
    <w:rsid w:val="00743F6E"/>
    <w:rsid w:val="007467E4"/>
    <w:rsid w:val="00746D5E"/>
    <w:rsid w:val="007511AD"/>
    <w:rsid w:val="00751470"/>
    <w:rsid w:val="00756DE7"/>
    <w:rsid w:val="00773F70"/>
    <w:rsid w:val="00774DED"/>
    <w:rsid w:val="0078550D"/>
    <w:rsid w:val="00786421"/>
    <w:rsid w:val="007865DD"/>
    <w:rsid w:val="00797293"/>
    <w:rsid w:val="007A03C6"/>
    <w:rsid w:val="007A7540"/>
    <w:rsid w:val="007B04BB"/>
    <w:rsid w:val="007B0AEC"/>
    <w:rsid w:val="007B33C3"/>
    <w:rsid w:val="007C0CFD"/>
    <w:rsid w:val="007C2805"/>
    <w:rsid w:val="007D1421"/>
    <w:rsid w:val="007F00D1"/>
    <w:rsid w:val="007F5CE4"/>
    <w:rsid w:val="007F7719"/>
    <w:rsid w:val="007F7A31"/>
    <w:rsid w:val="00803BEC"/>
    <w:rsid w:val="008074B8"/>
    <w:rsid w:val="00826929"/>
    <w:rsid w:val="00832250"/>
    <w:rsid w:val="008341B7"/>
    <w:rsid w:val="00834639"/>
    <w:rsid w:val="00851C4E"/>
    <w:rsid w:val="00851EDD"/>
    <w:rsid w:val="00852B46"/>
    <w:rsid w:val="00854337"/>
    <w:rsid w:val="00863A42"/>
    <w:rsid w:val="00865B6C"/>
    <w:rsid w:val="008660A3"/>
    <w:rsid w:val="008704FD"/>
    <w:rsid w:val="00871F7F"/>
    <w:rsid w:val="00873C86"/>
    <w:rsid w:val="0087586B"/>
    <w:rsid w:val="0087692B"/>
    <w:rsid w:val="008845D9"/>
    <w:rsid w:val="00890BA6"/>
    <w:rsid w:val="00894F2E"/>
    <w:rsid w:val="0089689F"/>
    <w:rsid w:val="00897004"/>
    <w:rsid w:val="00897113"/>
    <w:rsid w:val="008A0971"/>
    <w:rsid w:val="008A0FF9"/>
    <w:rsid w:val="008A3336"/>
    <w:rsid w:val="008A62AA"/>
    <w:rsid w:val="008B0E7F"/>
    <w:rsid w:val="008B72AC"/>
    <w:rsid w:val="008C0D4F"/>
    <w:rsid w:val="008C15AB"/>
    <w:rsid w:val="008C4A23"/>
    <w:rsid w:val="008C7BF2"/>
    <w:rsid w:val="008D518B"/>
    <w:rsid w:val="008D588A"/>
    <w:rsid w:val="008F15A6"/>
    <w:rsid w:val="008F359E"/>
    <w:rsid w:val="008F3C1C"/>
    <w:rsid w:val="008F53B4"/>
    <w:rsid w:val="008F7220"/>
    <w:rsid w:val="00906FFD"/>
    <w:rsid w:val="0091333D"/>
    <w:rsid w:val="00913414"/>
    <w:rsid w:val="009134AE"/>
    <w:rsid w:val="00936442"/>
    <w:rsid w:val="0094629C"/>
    <w:rsid w:val="009475DF"/>
    <w:rsid w:val="00957282"/>
    <w:rsid w:val="009615B0"/>
    <w:rsid w:val="00965003"/>
    <w:rsid w:val="00970900"/>
    <w:rsid w:val="009713E2"/>
    <w:rsid w:val="0097651C"/>
    <w:rsid w:val="009767D6"/>
    <w:rsid w:val="00986FCB"/>
    <w:rsid w:val="00991939"/>
    <w:rsid w:val="00995182"/>
    <w:rsid w:val="009B04DB"/>
    <w:rsid w:val="009B2BD8"/>
    <w:rsid w:val="009B653C"/>
    <w:rsid w:val="009B74C0"/>
    <w:rsid w:val="009C1566"/>
    <w:rsid w:val="009C2BDB"/>
    <w:rsid w:val="009C6ED2"/>
    <w:rsid w:val="009D2922"/>
    <w:rsid w:val="009D4529"/>
    <w:rsid w:val="009D48CE"/>
    <w:rsid w:val="009D6413"/>
    <w:rsid w:val="009D6731"/>
    <w:rsid w:val="009E14EF"/>
    <w:rsid w:val="00A07748"/>
    <w:rsid w:val="00A150AC"/>
    <w:rsid w:val="00A20550"/>
    <w:rsid w:val="00A34DC9"/>
    <w:rsid w:val="00A4286F"/>
    <w:rsid w:val="00A42BF8"/>
    <w:rsid w:val="00A44DE9"/>
    <w:rsid w:val="00A47ECC"/>
    <w:rsid w:val="00A543A5"/>
    <w:rsid w:val="00A60865"/>
    <w:rsid w:val="00A62F17"/>
    <w:rsid w:val="00A64785"/>
    <w:rsid w:val="00A70217"/>
    <w:rsid w:val="00A70A7F"/>
    <w:rsid w:val="00A768AD"/>
    <w:rsid w:val="00A76DCD"/>
    <w:rsid w:val="00A76DF4"/>
    <w:rsid w:val="00A84BE7"/>
    <w:rsid w:val="00A91850"/>
    <w:rsid w:val="00AA3F20"/>
    <w:rsid w:val="00AB2B17"/>
    <w:rsid w:val="00AB34CB"/>
    <w:rsid w:val="00AC399F"/>
    <w:rsid w:val="00AC44CB"/>
    <w:rsid w:val="00AC7103"/>
    <w:rsid w:val="00AC7598"/>
    <w:rsid w:val="00AD1F40"/>
    <w:rsid w:val="00AD6C4E"/>
    <w:rsid w:val="00AE2D39"/>
    <w:rsid w:val="00AE6320"/>
    <w:rsid w:val="00AE63BA"/>
    <w:rsid w:val="00AE720A"/>
    <w:rsid w:val="00AF0B5C"/>
    <w:rsid w:val="00AF3705"/>
    <w:rsid w:val="00AF67BD"/>
    <w:rsid w:val="00B00451"/>
    <w:rsid w:val="00B01EF9"/>
    <w:rsid w:val="00B06968"/>
    <w:rsid w:val="00B1527F"/>
    <w:rsid w:val="00B173C9"/>
    <w:rsid w:val="00B25553"/>
    <w:rsid w:val="00B26517"/>
    <w:rsid w:val="00B30310"/>
    <w:rsid w:val="00B35B77"/>
    <w:rsid w:val="00B42600"/>
    <w:rsid w:val="00B4285A"/>
    <w:rsid w:val="00B56E25"/>
    <w:rsid w:val="00B60DB8"/>
    <w:rsid w:val="00B662E4"/>
    <w:rsid w:val="00B67B82"/>
    <w:rsid w:val="00B728C9"/>
    <w:rsid w:val="00B73A8E"/>
    <w:rsid w:val="00B81D83"/>
    <w:rsid w:val="00B8676F"/>
    <w:rsid w:val="00BA1F02"/>
    <w:rsid w:val="00BA2A90"/>
    <w:rsid w:val="00BA7B0B"/>
    <w:rsid w:val="00BB3CC1"/>
    <w:rsid w:val="00BB3FD4"/>
    <w:rsid w:val="00BB493C"/>
    <w:rsid w:val="00BB5751"/>
    <w:rsid w:val="00BC1D01"/>
    <w:rsid w:val="00BC570A"/>
    <w:rsid w:val="00BD0AE1"/>
    <w:rsid w:val="00BD188C"/>
    <w:rsid w:val="00BD7069"/>
    <w:rsid w:val="00BE26E2"/>
    <w:rsid w:val="00BE399E"/>
    <w:rsid w:val="00BE5EAA"/>
    <w:rsid w:val="00BF2F33"/>
    <w:rsid w:val="00BF6DF2"/>
    <w:rsid w:val="00BF7242"/>
    <w:rsid w:val="00C0114C"/>
    <w:rsid w:val="00C03AAD"/>
    <w:rsid w:val="00C0407A"/>
    <w:rsid w:val="00C1503E"/>
    <w:rsid w:val="00C164F6"/>
    <w:rsid w:val="00C219F4"/>
    <w:rsid w:val="00C21EBC"/>
    <w:rsid w:val="00C22472"/>
    <w:rsid w:val="00C2541E"/>
    <w:rsid w:val="00C314E0"/>
    <w:rsid w:val="00C441C3"/>
    <w:rsid w:val="00C45FB8"/>
    <w:rsid w:val="00C505A2"/>
    <w:rsid w:val="00C5239C"/>
    <w:rsid w:val="00C5489E"/>
    <w:rsid w:val="00C57CB3"/>
    <w:rsid w:val="00C653F5"/>
    <w:rsid w:val="00C65B2C"/>
    <w:rsid w:val="00C662D7"/>
    <w:rsid w:val="00C732F4"/>
    <w:rsid w:val="00C86FED"/>
    <w:rsid w:val="00C90AB6"/>
    <w:rsid w:val="00C911C0"/>
    <w:rsid w:val="00C9206A"/>
    <w:rsid w:val="00C94A8A"/>
    <w:rsid w:val="00CA37C9"/>
    <w:rsid w:val="00CB5AE0"/>
    <w:rsid w:val="00CC32DC"/>
    <w:rsid w:val="00CC63C4"/>
    <w:rsid w:val="00CD0610"/>
    <w:rsid w:val="00CD0B32"/>
    <w:rsid w:val="00CD16C4"/>
    <w:rsid w:val="00CF0CD3"/>
    <w:rsid w:val="00CF7103"/>
    <w:rsid w:val="00CF7E2F"/>
    <w:rsid w:val="00D009A1"/>
    <w:rsid w:val="00D012C8"/>
    <w:rsid w:val="00D03A64"/>
    <w:rsid w:val="00D05775"/>
    <w:rsid w:val="00D10EC3"/>
    <w:rsid w:val="00D12D4B"/>
    <w:rsid w:val="00D15F9A"/>
    <w:rsid w:val="00D171DD"/>
    <w:rsid w:val="00D17E9D"/>
    <w:rsid w:val="00D23CC2"/>
    <w:rsid w:val="00D25638"/>
    <w:rsid w:val="00D25D84"/>
    <w:rsid w:val="00D25F9B"/>
    <w:rsid w:val="00D30DC7"/>
    <w:rsid w:val="00D40317"/>
    <w:rsid w:val="00D412DA"/>
    <w:rsid w:val="00D418EC"/>
    <w:rsid w:val="00D46438"/>
    <w:rsid w:val="00D5397C"/>
    <w:rsid w:val="00D5436E"/>
    <w:rsid w:val="00D56825"/>
    <w:rsid w:val="00D62FD6"/>
    <w:rsid w:val="00D70B3F"/>
    <w:rsid w:val="00D71D2B"/>
    <w:rsid w:val="00D8096E"/>
    <w:rsid w:val="00D81891"/>
    <w:rsid w:val="00D86D08"/>
    <w:rsid w:val="00D90612"/>
    <w:rsid w:val="00D93B2B"/>
    <w:rsid w:val="00DB22E8"/>
    <w:rsid w:val="00DB6E21"/>
    <w:rsid w:val="00DC3A1B"/>
    <w:rsid w:val="00DD5DA8"/>
    <w:rsid w:val="00DE01EC"/>
    <w:rsid w:val="00DE52F9"/>
    <w:rsid w:val="00DE5434"/>
    <w:rsid w:val="00DE64F4"/>
    <w:rsid w:val="00DE768D"/>
    <w:rsid w:val="00DF0113"/>
    <w:rsid w:val="00DF562F"/>
    <w:rsid w:val="00E0473E"/>
    <w:rsid w:val="00E0575C"/>
    <w:rsid w:val="00E064F8"/>
    <w:rsid w:val="00E07F90"/>
    <w:rsid w:val="00E134AD"/>
    <w:rsid w:val="00E20049"/>
    <w:rsid w:val="00E33279"/>
    <w:rsid w:val="00E34208"/>
    <w:rsid w:val="00E40F2E"/>
    <w:rsid w:val="00E5726E"/>
    <w:rsid w:val="00E60C5E"/>
    <w:rsid w:val="00E61FD8"/>
    <w:rsid w:val="00E622C2"/>
    <w:rsid w:val="00E6306A"/>
    <w:rsid w:val="00E635F2"/>
    <w:rsid w:val="00E64CC5"/>
    <w:rsid w:val="00E6723D"/>
    <w:rsid w:val="00E72CFE"/>
    <w:rsid w:val="00E771A4"/>
    <w:rsid w:val="00E80B73"/>
    <w:rsid w:val="00E83118"/>
    <w:rsid w:val="00E8394E"/>
    <w:rsid w:val="00E87C92"/>
    <w:rsid w:val="00E9419F"/>
    <w:rsid w:val="00EA031A"/>
    <w:rsid w:val="00EA045B"/>
    <w:rsid w:val="00EA18C1"/>
    <w:rsid w:val="00EB7D6D"/>
    <w:rsid w:val="00EC1F7C"/>
    <w:rsid w:val="00EC28D6"/>
    <w:rsid w:val="00EE0AD3"/>
    <w:rsid w:val="00EE0D0F"/>
    <w:rsid w:val="00EF4714"/>
    <w:rsid w:val="00EF583C"/>
    <w:rsid w:val="00EF7339"/>
    <w:rsid w:val="00F00425"/>
    <w:rsid w:val="00F06B02"/>
    <w:rsid w:val="00F17ACC"/>
    <w:rsid w:val="00F21CDA"/>
    <w:rsid w:val="00F22FAD"/>
    <w:rsid w:val="00F23AEA"/>
    <w:rsid w:val="00F26832"/>
    <w:rsid w:val="00F26DF9"/>
    <w:rsid w:val="00F27528"/>
    <w:rsid w:val="00F32D25"/>
    <w:rsid w:val="00F35219"/>
    <w:rsid w:val="00F40D83"/>
    <w:rsid w:val="00F40FC2"/>
    <w:rsid w:val="00F41C58"/>
    <w:rsid w:val="00F47C36"/>
    <w:rsid w:val="00F53AC5"/>
    <w:rsid w:val="00F55E1C"/>
    <w:rsid w:val="00F56E57"/>
    <w:rsid w:val="00F57A3E"/>
    <w:rsid w:val="00F63468"/>
    <w:rsid w:val="00F63F0F"/>
    <w:rsid w:val="00F6592F"/>
    <w:rsid w:val="00F80139"/>
    <w:rsid w:val="00F8082D"/>
    <w:rsid w:val="00F8468E"/>
    <w:rsid w:val="00F84806"/>
    <w:rsid w:val="00F84BFE"/>
    <w:rsid w:val="00F9180A"/>
    <w:rsid w:val="00F91DEA"/>
    <w:rsid w:val="00F93666"/>
    <w:rsid w:val="00FA2A6C"/>
    <w:rsid w:val="00FA7DE8"/>
    <w:rsid w:val="00FB0354"/>
    <w:rsid w:val="00FB13E7"/>
    <w:rsid w:val="00FB5BA6"/>
    <w:rsid w:val="00FB6720"/>
    <w:rsid w:val="00FB7401"/>
    <w:rsid w:val="00FC2B58"/>
    <w:rsid w:val="00FC5E5B"/>
    <w:rsid w:val="00FD3A62"/>
    <w:rsid w:val="00FD474B"/>
    <w:rsid w:val="00FD6603"/>
    <w:rsid w:val="00FE2769"/>
    <w:rsid w:val="00FF52E6"/>
    <w:rsid w:val="00FF7B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3D698E"/>
  <w15:docId w15:val="{522940EE-5DB4-4DB6-AF64-A4C713689F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4A23"/>
    <w:rPr>
      <w:lang w:eastAsia="ja-JP"/>
    </w:rPr>
  </w:style>
  <w:style w:type="paragraph" w:styleId="Heading1">
    <w:name w:val="heading 1"/>
    <w:basedOn w:val="Normal"/>
    <w:next w:val="Normal"/>
    <w:link w:val="Heading1Char"/>
    <w:uiPriority w:val="9"/>
    <w:qFormat/>
    <w:rsid w:val="00A6311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597DA8"/>
    <w:pPr>
      <w:keepNext/>
      <w:keepLines/>
      <w:spacing w:before="40" w:line="360" w:lineRule="auto"/>
      <w:outlineLvl w:val="1"/>
    </w:pPr>
    <w:rPr>
      <w:rFonts w:ascii="Arial" w:eastAsiaTheme="majorEastAsia" w:hAnsi="Arial" w:cstheme="majorBidi"/>
      <w:i/>
      <w:kern w:val="2"/>
      <w:sz w:val="28"/>
      <w:szCs w:val="26"/>
      <w:lang w:eastAsia="en-US"/>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rsid w:val="00EA20DF"/>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7DA8"/>
    <w:pPr>
      <w:keepNext/>
      <w:keepLines/>
      <w:spacing w:before="40" w:line="259" w:lineRule="auto"/>
      <w:outlineLvl w:val="4"/>
    </w:pPr>
    <w:rPr>
      <w:rFonts w:asciiTheme="majorHAnsi" w:eastAsiaTheme="majorEastAsia" w:hAnsiTheme="majorHAnsi" w:cstheme="majorBidi"/>
      <w:color w:val="2F5496" w:themeColor="accent1" w:themeShade="BF"/>
      <w:kern w:val="2"/>
      <w:sz w:val="22"/>
      <w:szCs w:val="22"/>
      <w:lang w:val="it-IT" w:eastAsia="en-US"/>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pPr>
      <w:keepNext/>
      <w:keepLines/>
      <w:spacing w:before="480" w:after="120"/>
    </w:pPr>
    <w:rPr>
      <w:b/>
      <w:sz w:val="72"/>
      <w:szCs w:val="72"/>
    </w:rPr>
  </w:style>
  <w:style w:type="paragraph" w:customStyle="1" w:styleId="History">
    <w:name w:val="History"/>
    <w:basedOn w:val="Normal"/>
    <w:rsid w:val="005B291B"/>
    <w:pPr>
      <w:spacing w:before="230" w:after="460" w:line="180" w:lineRule="exact"/>
      <w:jc w:val="right"/>
    </w:pPr>
    <w:rPr>
      <w:rFonts w:ascii="Arial" w:hAnsi="Arial"/>
      <w:sz w:val="14"/>
      <w:szCs w:val="16"/>
    </w:rPr>
  </w:style>
  <w:style w:type="paragraph" w:customStyle="1" w:styleId="References">
    <w:name w:val="References"/>
    <w:basedOn w:val="Normal"/>
    <w:rsid w:val="005B291B"/>
    <w:pPr>
      <w:spacing w:line="200" w:lineRule="exact"/>
      <w:ind w:left="425" w:hanging="425"/>
      <w:jc w:val="both"/>
    </w:pPr>
    <w:rPr>
      <w:sz w:val="15"/>
      <w:szCs w:val="14"/>
      <w:lang w:val="en-GB"/>
    </w:rPr>
  </w:style>
  <w:style w:type="paragraph" w:customStyle="1" w:styleId="HExperimentalSection">
    <w:name w:val="HExperimental_Section"/>
    <w:basedOn w:val="Normal"/>
    <w:rsid w:val="005B291B"/>
    <w:pPr>
      <w:spacing w:before="460" w:after="230" w:line="230" w:lineRule="atLeast"/>
    </w:pPr>
    <w:rPr>
      <w:i/>
      <w:szCs w:val="20"/>
    </w:rPr>
  </w:style>
  <w:style w:type="paragraph" w:customStyle="1" w:styleId="ExperimentalSection">
    <w:name w:val="ExperimentalSection"/>
    <w:basedOn w:val="Normal"/>
    <w:rsid w:val="005B291B"/>
    <w:pPr>
      <w:spacing w:after="240" w:line="200" w:lineRule="exact"/>
      <w:ind w:firstLine="170"/>
      <w:jc w:val="both"/>
    </w:pPr>
    <w:rPr>
      <w:sz w:val="16"/>
      <w:szCs w:val="14"/>
      <w:lang w:val="en-GB"/>
    </w:rPr>
  </w:style>
  <w:style w:type="paragraph" w:customStyle="1" w:styleId="FNB">
    <w:name w:val="FNB"/>
    <w:basedOn w:val="Normal"/>
    <w:link w:val="FNBChar"/>
    <w:rsid w:val="005B291B"/>
    <w:pPr>
      <w:widowControl w:val="0"/>
      <w:spacing w:after="40" w:line="160" w:lineRule="exact"/>
      <w:ind w:left="567" w:right="4434" w:hanging="567"/>
      <w:jc w:val="both"/>
    </w:pPr>
    <w:rPr>
      <w:rFonts w:ascii="Times" w:hAnsi="Times"/>
      <w:sz w:val="14"/>
      <w:szCs w:val="3276"/>
      <w:lang w:val="en-GB" w:eastAsia="de-DE"/>
    </w:rPr>
  </w:style>
  <w:style w:type="character" w:customStyle="1" w:styleId="FNBChar">
    <w:name w:val="FNB Char"/>
    <w:link w:val="FNB"/>
    <w:rsid w:val="005B291B"/>
    <w:rPr>
      <w:rFonts w:ascii="Times" w:hAnsi="Times"/>
      <w:sz w:val="14"/>
      <w:szCs w:val="3276"/>
      <w:lang w:val="en-GB" w:eastAsia="de-DE" w:bidi="ar-SA"/>
    </w:rPr>
  </w:style>
  <w:style w:type="paragraph" w:customStyle="1" w:styleId="Ack">
    <w:name w:val="Ack"/>
    <w:basedOn w:val="Normal"/>
    <w:rsid w:val="005B291B"/>
  </w:style>
  <w:style w:type="paragraph" w:customStyle="1" w:styleId="TableCaption">
    <w:name w:val="TableCaption"/>
    <w:basedOn w:val="Normal"/>
    <w:rsid w:val="006511FB"/>
    <w:pPr>
      <w:spacing w:after="120" w:line="190" w:lineRule="exact"/>
      <w:jc w:val="both"/>
    </w:pPr>
    <w:rPr>
      <w:rFonts w:ascii="Arial" w:hAnsi="Arial"/>
      <w:sz w:val="16"/>
      <w:szCs w:val="14"/>
      <w:lang w:val="en-GB"/>
    </w:rPr>
  </w:style>
  <w:style w:type="paragraph" w:customStyle="1" w:styleId="TableHead">
    <w:name w:val="TableHead"/>
    <w:basedOn w:val="TableCaption"/>
    <w:rsid w:val="006511FB"/>
    <w:pPr>
      <w:pBdr>
        <w:top w:val="single" w:sz="4" w:space="4" w:color="FFFFFF"/>
        <w:left w:val="single" w:sz="4" w:space="4" w:color="FFFFFF"/>
        <w:bottom w:val="single" w:sz="4" w:space="4" w:color="FFFFFF"/>
        <w:right w:val="single" w:sz="4" w:space="4" w:color="FFFFFF"/>
      </w:pBdr>
      <w:spacing w:after="0"/>
    </w:pPr>
  </w:style>
  <w:style w:type="paragraph" w:customStyle="1" w:styleId="TableBody">
    <w:name w:val="TableBody"/>
    <w:basedOn w:val="TableHead"/>
    <w:rsid w:val="006511FB"/>
  </w:style>
  <w:style w:type="paragraph" w:customStyle="1" w:styleId="TableFoot">
    <w:name w:val="TableFoot"/>
    <w:basedOn w:val="TableBody"/>
    <w:rsid w:val="006511FB"/>
    <w:pPr>
      <w:spacing w:before="60" w:after="60"/>
    </w:pPr>
  </w:style>
  <w:style w:type="paragraph" w:customStyle="1" w:styleId="SchemeCaption">
    <w:name w:val="SchemeCaption"/>
    <w:basedOn w:val="Normal"/>
    <w:rsid w:val="006511FB"/>
    <w:pPr>
      <w:spacing w:before="230" w:after="460" w:line="190" w:lineRule="exact"/>
      <w:jc w:val="both"/>
    </w:pPr>
    <w:rPr>
      <w:rFonts w:ascii="Arial" w:hAnsi="Arial"/>
      <w:sz w:val="16"/>
      <w:szCs w:val="14"/>
      <w:lang w:val="en-GB"/>
    </w:rPr>
  </w:style>
  <w:style w:type="paragraph" w:styleId="FootnoteText">
    <w:name w:val="footnote text"/>
    <w:basedOn w:val="Normal"/>
    <w:semiHidden/>
    <w:rsid w:val="00D81375"/>
    <w:pPr>
      <w:keepLines/>
      <w:widowControl w:val="0"/>
      <w:jc w:val="both"/>
    </w:pPr>
    <w:rPr>
      <w:sz w:val="20"/>
      <w:szCs w:val="20"/>
      <w:lang w:val="en-GB" w:eastAsia="ro-RO"/>
    </w:rPr>
  </w:style>
  <w:style w:type="paragraph" w:customStyle="1" w:styleId="STOE">
    <w:name w:val="STOE"/>
    <w:basedOn w:val="Normal"/>
    <w:link w:val="STOEChar1"/>
    <w:rsid w:val="00D81375"/>
    <w:pPr>
      <w:widowControl w:val="0"/>
      <w:spacing w:line="236" w:lineRule="exact"/>
      <w:ind w:right="4434"/>
      <w:jc w:val="both"/>
    </w:pPr>
    <w:rPr>
      <w:rFonts w:ascii="Times" w:hAnsi="Times"/>
      <w:sz w:val="18"/>
      <w:szCs w:val="3276"/>
      <w:lang w:val="en-GB" w:eastAsia="de-DE"/>
    </w:rPr>
  </w:style>
  <w:style w:type="character" w:customStyle="1" w:styleId="STOEChar1">
    <w:name w:val="STOE Char1"/>
    <w:link w:val="STOE"/>
    <w:rsid w:val="00D81375"/>
    <w:rPr>
      <w:rFonts w:ascii="Times" w:hAnsi="Times"/>
      <w:sz w:val="18"/>
      <w:szCs w:val="3276"/>
      <w:lang w:val="en-GB" w:eastAsia="de-DE" w:bidi="ar-SA"/>
    </w:rPr>
  </w:style>
  <w:style w:type="paragraph" w:styleId="BalloonText">
    <w:name w:val="Balloon Text"/>
    <w:basedOn w:val="Normal"/>
    <w:semiHidden/>
    <w:rsid w:val="00D81375"/>
    <w:rPr>
      <w:rFonts w:ascii="Tahoma" w:hAnsi="Tahoma" w:cs="Tahoma"/>
      <w:sz w:val="16"/>
      <w:szCs w:val="16"/>
    </w:rPr>
  </w:style>
  <w:style w:type="paragraph" w:styleId="Header">
    <w:name w:val="header"/>
    <w:basedOn w:val="Normal"/>
    <w:link w:val="HeaderChar"/>
    <w:rsid w:val="00881456"/>
    <w:pPr>
      <w:tabs>
        <w:tab w:val="center" w:pos="4536"/>
        <w:tab w:val="right" w:pos="9072"/>
      </w:tabs>
    </w:pPr>
    <w:rPr>
      <w:lang w:val="x-none"/>
    </w:rPr>
  </w:style>
  <w:style w:type="paragraph" w:styleId="Footer">
    <w:name w:val="footer"/>
    <w:basedOn w:val="Normal"/>
    <w:link w:val="FooterChar"/>
    <w:uiPriority w:val="99"/>
    <w:rsid w:val="00881456"/>
    <w:pPr>
      <w:tabs>
        <w:tab w:val="center" w:pos="4536"/>
        <w:tab w:val="right" w:pos="9072"/>
      </w:tabs>
    </w:pPr>
  </w:style>
  <w:style w:type="paragraph" w:customStyle="1" w:styleId="Title1">
    <w:name w:val="Title1"/>
    <w:basedOn w:val="Normal"/>
    <w:rsid w:val="00004A23"/>
    <w:rPr>
      <w:b/>
    </w:rPr>
  </w:style>
  <w:style w:type="paragraph" w:customStyle="1" w:styleId="AuthorsFull">
    <w:name w:val="Authors Full"/>
    <w:basedOn w:val="Normal"/>
    <w:rsid w:val="00004A23"/>
    <w:rPr>
      <w:i/>
    </w:rPr>
  </w:style>
  <w:style w:type="paragraph" w:customStyle="1" w:styleId="dedication">
    <w:name w:val="dedication"/>
    <w:basedOn w:val="Normal"/>
    <w:rsid w:val="00004A23"/>
    <w:rPr>
      <w:i/>
    </w:rPr>
  </w:style>
  <w:style w:type="paragraph" w:customStyle="1" w:styleId="Addresses">
    <w:name w:val="Addresses"/>
    <w:basedOn w:val="Normal"/>
    <w:rsid w:val="00004A23"/>
  </w:style>
  <w:style w:type="paragraph" w:customStyle="1" w:styleId="Acknowledgements">
    <w:name w:val="Acknowledgements"/>
    <w:basedOn w:val="Normal"/>
    <w:rsid w:val="00004A23"/>
  </w:style>
  <w:style w:type="paragraph" w:customStyle="1" w:styleId="Abstract">
    <w:name w:val="Abstract"/>
    <w:basedOn w:val="Normal"/>
    <w:autoRedefine/>
    <w:rsid w:val="00004A23"/>
    <w:pPr>
      <w:spacing w:line="480" w:lineRule="auto"/>
    </w:pPr>
  </w:style>
  <w:style w:type="paragraph" w:customStyle="1" w:styleId="Head1">
    <w:name w:val="Head 1"/>
    <w:basedOn w:val="Normal"/>
    <w:autoRedefine/>
    <w:rsid w:val="002B79BB"/>
    <w:pPr>
      <w:spacing w:line="276" w:lineRule="auto"/>
      <w:jc w:val="both"/>
    </w:pPr>
  </w:style>
  <w:style w:type="paragraph" w:customStyle="1" w:styleId="Head2">
    <w:name w:val="Head 2"/>
    <w:basedOn w:val="Normal"/>
    <w:autoRedefine/>
    <w:rsid w:val="00004A23"/>
    <w:pPr>
      <w:spacing w:line="360" w:lineRule="auto"/>
    </w:pPr>
    <w:rPr>
      <w:i/>
    </w:rPr>
  </w:style>
  <w:style w:type="paragraph" w:customStyle="1" w:styleId="dates">
    <w:name w:val="dates"/>
    <w:basedOn w:val="Normal"/>
    <w:rsid w:val="00004A23"/>
    <w:pPr>
      <w:jc w:val="right"/>
    </w:pPr>
  </w:style>
  <w:style w:type="paragraph" w:customStyle="1" w:styleId="Literature">
    <w:name w:val="Literature"/>
    <w:basedOn w:val="Normal"/>
    <w:rsid w:val="00004A23"/>
    <w:pPr>
      <w:spacing w:line="480" w:lineRule="auto"/>
    </w:pPr>
  </w:style>
  <w:style w:type="paragraph" w:customStyle="1" w:styleId="Legend">
    <w:name w:val="Legend"/>
    <w:basedOn w:val="Normal"/>
    <w:rsid w:val="00004A23"/>
  </w:style>
  <w:style w:type="paragraph" w:customStyle="1" w:styleId="MainText">
    <w:name w:val="Main Text"/>
    <w:basedOn w:val="Normal"/>
    <w:link w:val="MainTextChar"/>
    <w:rsid w:val="00004A23"/>
    <w:pPr>
      <w:spacing w:line="480" w:lineRule="auto"/>
    </w:pPr>
  </w:style>
  <w:style w:type="paragraph" w:customStyle="1" w:styleId="Tableofcontents">
    <w:name w:val="Table of contents"/>
    <w:basedOn w:val="Normal"/>
    <w:autoRedefine/>
    <w:rsid w:val="001C5DAA"/>
    <w:pPr>
      <w:spacing w:line="360" w:lineRule="auto"/>
    </w:pPr>
  </w:style>
  <w:style w:type="paragraph" w:customStyle="1" w:styleId="ExperimentalText">
    <w:name w:val="Experimental Text"/>
    <w:basedOn w:val="Normal"/>
    <w:link w:val="ExperimentalTextChar"/>
    <w:rsid w:val="00004A23"/>
    <w:pPr>
      <w:spacing w:line="480" w:lineRule="auto"/>
    </w:pPr>
  </w:style>
  <w:style w:type="character" w:customStyle="1" w:styleId="ExperimentalTextChar">
    <w:name w:val="Experimental Text Char"/>
    <w:link w:val="ExperimentalText"/>
    <w:rsid w:val="00004A23"/>
    <w:rPr>
      <w:rFonts w:eastAsia="MS Mincho"/>
      <w:sz w:val="24"/>
      <w:szCs w:val="24"/>
      <w:lang w:val="en-US" w:eastAsia="ja-JP" w:bidi="ar-SA"/>
    </w:rPr>
  </w:style>
  <w:style w:type="character" w:customStyle="1" w:styleId="MainTextChar">
    <w:name w:val="Main Text Char"/>
    <w:link w:val="MainText"/>
    <w:rsid w:val="00004A23"/>
    <w:rPr>
      <w:rFonts w:eastAsia="MS Mincho"/>
      <w:sz w:val="24"/>
      <w:szCs w:val="24"/>
      <w:lang w:val="en-US" w:eastAsia="ja-JP" w:bidi="ar-SA"/>
    </w:rPr>
  </w:style>
  <w:style w:type="paragraph" w:customStyle="1" w:styleId="Title2">
    <w:name w:val="Title2"/>
    <w:basedOn w:val="Normal"/>
    <w:rsid w:val="002D16A0"/>
    <w:rPr>
      <w:b/>
    </w:rPr>
  </w:style>
  <w:style w:type="paragraph" w:customStyle="1" w:styleId="Dedication0">
    <w:name w:val="Dedication"/>
    <w:basedOn w:val="Normal"/>
    <w:autoRedefine/>
    <w:rsid w:val="00322D5B"/>
  </w:style>
  <w:style w:type="paragraph" w:customStyle="1" w:styleId="Maintext0">
    <w:name w:val="Main text"/>
    <w:basedOn w:val="Normal"/>
    <w:link w:val="MaintextChar0"/>
    <w:autoRedefine/>
    <w:rsid w:val="00BC59A5"/>
    <w:pPr>
      <w:spacing w:line="276" w:lineRule="auto"/>
    </w:pPr>
    <w:rPr>
      <w:b/>
    </w:rPr>
  </w:style>
  <w:style w:type="character" w:customStyle="1" w:styleId="MaintextChar0">
    <w:name w:val="Main text Char"/>
    <w:link w:val="Maintext0"/>
    <w:rsid w:val="00BC59A5"/>
    <w:rPr>
      <w:b/>
      <w:sz w:val="24"/>
      <w:szCs w:val="24"/>
      <w:lang w:val="en-US" w:eastAsia="ja-JP"/>
    </w:rPr>
  </w:style>
  <w:style w:type="paragraph" w:customStyle="1" w:styleId="Biography">
    <w:name w:val="Biography"/>
    <w:basedOn w:val="Normal"/>
    <w:autoRedefine/>
    <w:rsid w:val="00562E2B"/>
    <w:rPr>
      <w:i/>
    </w:rPr>
  </w:style>
  <w:style w:type="character" w:customStyle="1" w:styleId="HeaderChar">
    <w:name w:val="Header Char"/>
    <w:link w:val="Header"/>
    <w:rsid w:val="00414465"/>
    <w:rPr>
      <w:sz w:val="24"/>
      <w:szCs w:val="24"/>
      <w:lang w:eastAsia="ja-JP"/>
    </w:rPr>
  </w:style>
  <w:style w:type="character" w:styleId="CommentReference">
    <w:name w:val="annotation reference"/>
    <w:uiPriority w:val="99"/>
    <w:semiHidden/>
    <w:unhideWhenUsed/>
    <w:rsid w:val="00664F6D"/>
    <w:rPr>
      <w:sz w:val="16"/>
      <w:szCs w:val="16"/>
    </w:rPr>
  </w:style>
  <w:style w:type="paragraph" w:styleId="CommentText">
    <w:name w:val="annotation text"/>
    <w:basedOn w:val="Normal"/>
    <w:link w:val="CommentTextChar"/>
    <w:uiPriority w:val="99"/>
    <w:unhideWhenUsed/>
    <w:rsid w:val="00664F6D"/>
    <w:rPr>
      <w:sz w:val="20"/>
      <w:szCs w:val="20"/>
      <w:lang w:val="x-none"/>
    </w:rPr>
  </w:style>
  <w:style w:type="character" w:customStyle="1" w:styleId="CommentTextChar">
    <w:name w:val="Comment Text Char"/>
    <w:link w:val="CommentText"/>
    <w:uiPriority w:val="99"/>
    <w:rsid w:val="00664F6D"/>
    <w:rPr>
      <w:lang w:eastAsia="ja-JP"/>
    </w:rPr>
  </w:style>
  <w:style w:type="paragraph" w:styleId="CommentSubject">
    <w:name w:val="annotation subject"/>
    <w:basedOn w:val="CommentText"/>
    <w:next w:val="CommentText"/>
    <w:link w:val="CommentSubjectChar"/>
    <w:uiPriority w:val="99"/>
    <w:semiHidden/>
    <w:unhideWhenUsed/>
    <w:rsid w:val="00664F6D"/>
    <w:rPr>
      <w:b/>
      <w:bCs/>
    </w:rPr>
  </w:style>
  <w:style w:type="character" w:customStyle="1" w:styleId="CommentSubjectChar">
    <w:name w:val="Comment Subject Char"/>
    <w:link w:val="CommentSubject"/>
    <w:uiPriority w:val="99"/>
    <w:semiHidden/>
    <w:rsid w:val="00664F6D"/>
    <w:rPr>
      <w:b/>
      <w:bCs/>
      <w:lang w:eastAsia="ja-JP"/>
    </w:rPr>
  </w:style>
  <w:style w:type="character" w:customStyle="1" w:styleId="FooterChar">
    <w:name w:val="Footer Char"/>
    <w:link w:val="Footer"/>
    <w:uiPriority w:val="99"/>
    <w:rsid w:val="007B7A09"/>
    <w:rPr>
      <w:sz w:val="24"/>
      <w:szCs w:val="24"/>
      <w:lang w:eastAsia="ja-JP"/>
    </w:rPr>
  </w:style>
  <w:style w:type="character" w:styleId="PlaceholderText">
    <w:name w:val="Placeholder Text"/>
    <w:basedOn w:val="DefaultParagraphFont"/>
    <w:uiPriority w:val="99"/>
    <w:semiHidden/>
    <w:rsid w:val="00FC064E"/>
    <w:rPr>
      <w:color w:val="666666"/>
    </w:rPr>
  </w:style>
  <w:style w:type="paragraph" w:styleId="ListParagraph">
    <w:name w:val="List Paragraph"/>
    <w:basedOn w:val="Normal"/>
    <w:uiPriority w:val="34"/>
    <w:qFormat/>
    <w:rsid w:val="0079054F"/>
    <w:pPr>
      <w:spacing w:after="160" w:line="259" w:lineRule="auto"/>
      <w:ind w:left="720"/>
      <w:contextualSpacing/>
    </w:pPr>
    <w:rPr>
      <w:rFonts w:asciiTheme="minorHAnsi" w:eastAsiaTheme="minorHAnsi" w:hAnsiTheme="minorHAnsi" w:cstheme="minorBidi"/>
      <w:sz w:val="22"/>
      <w:szCs w:val="22"/>
      <w:lang w:val="it-IT" w:eastAsia="en-US"/>
    </w:rPr>
  </w:style>
  <w:style w:type="paragraph" w:styleId="NormalWeb">
    <w:name w:val="Normal (Web)"/>
    <w:basedOn w:val="Normal"/>
    <w:uiPriority w:val="99"/>
    <w:unhideWhenUsed/>
    <w:rsid w:val="00374EC8"/>
    <w:pPr>
      <w:spacing w:before="100" w:beforeAutospacing="1" w:after="100" w:afterAutospacing="1"/>
    </w:pPr>
    <w:rPr>
      <w:lang w:val="it-IT" w:eastAsia="it-IT"/>
    </w:rPr>
  </w:style>
  <w:style w:type="character" w:styleId="Strong">
    <w:name w:val="Strong"/>
    <w:basedOn w:val="DefaultParagraphFont"/>
    <w:uiPriority w:val="22"/>
    <w:qFormat/>
    <w:rsid w:val="00374EC8"/>
    <w:rPr>
      <w:b/>
      <w:bCs/>
    </w:rPr>
  </w:style>
  <w:style w:type="character" w:customStyle="1" w:styleId="Heading2Char">
    <w:name w:val="Heading 2 Char"/>
    <w:basedOn w:val="DefaultParagraphFont"/>
    <w:link w:val="Heading2"/>
    <w:uiPriority w:val="9"/>
    <w:rsid w:val="00597DA8"/>
    <w:rPr>
      <w:rFonts w:ascii="Arial" w:eastAsiaTheme="majorEastAsia" w:hAnsi="Arial" w:cstheme="majorBidi"/>
      <w:i/>
      <w:kern w:val="2"/>
      <w:sz w:val="28"/>
      <w:szCs w:val="26"/>
      <w:lang w:val="en-US" w:eastAsia="en-US"/>
    </w:rPr>
  </w:style>
  <w:style w:type="character" w:customStyle="1" w:styleId="Heading5Char">
    <w:name w:val="Heading 5 Char"/>
    <w:basedOn w:val="DefaultParagraphFont"/>
    <w:link w:val="Heading5"/>
    <w:uiPriority w:val="9"/>
    <w:semiHidden/>
    <w:rsid w:val="00597DA8"/>
    <w:rPr>
      <w:rFonts w:asciiTheme="majorHAnsi" w:eastAsiaTheme="majorEastAsia" w:hAnsiTheme="majorHAnsi" w:cstheme="majorBidi"/>
      <w:color w:val="2F5496" w:themeColor="accent1" w:themeShade="BF"/>
      <w:kern w:val="2"/>
      <w:sz w:val="22"/>
      <w:szCs w:val="22"/>
      <w:lang w:val="it-IT" w:eastAsia="en-US"/>
    </w:rPr>
  </w:style>
  <w:style w:type="paragraph" w:styleId="Caption">
    <w:name w:val="caption"/>
    <w:basedOn w:val="Normal"/>
    <w:next w:val="Normal"/>
    <w:uiPriority w:val="35"/>
    <w:unhideWhenUsed/>
    <w:qFormat/>
    <w:rsid w:val="00CC7DC9"/>
    <w:pPr>
      <w:spacing w:after="200"/>
    </w:pPr>
    <w:rPr>
      <w:i/>
      <w:iCs/>
      <w:color w:val="44546A" w:themeColor="text2"/>
      <w:sz w:val="18"/>
      <w:szCs w:val="18"/>
    </w:rPr>
  </w:style>
  <w:style w:type="character" w:styleId="Emphasis">
    <w:name w:val="Emphasis"/>
    <w:basedOn w:val="DefaultParagraphFont"/>
    <w:uiPriority w:val="20"/>
    <w:qFormat/>
    <w:rsid w:val="004053B6"/>
    <w:rPr>
      <w:i/>
      <w:iCs/>
    </w:rPr>
  </w:style>
  <w:style w:type="character" w:customStyle="1" w:styleId="anchor-text">
    <w:name w:val="anchor-text"/>
    <w:basedOn w:val="DefaultParagraphFont"/>
    <w:rsid w:val="004053B6"/>
  </w:style>
  <w:style w:type="character" w:customStyle="1" w:styleId="label">
    <w:name w:val="label"/>
    <w:basedOn w:val="DefaultParagraphFont"/>
    <w:rsid w:val="004053B6"/>
  </w:style>
  <w:style w:type="character" w:styleId="Hyperlink">
    <w:name w:val="Hyperlink"/>
    <w:basedOn w:val="DefaultParagraphFont"/>
    <w:uiPriority w:val="99"/>
    <w:unhideWhenUsed/>
    <w:rsid w:val="001C1C95"/>
    <w:rPr>
      <w:color w:val="0000FF"/>
      <w:u w:val="single"/>
    </w:rPr>
  </w:style>
  <w:style w:type="character" w:customStyle="1" w:styleId="Heading4Char">
    <w:name w:val="Heading 4 Char"/>
    <w:basedOn w:val="DefaultParagraphFont"/>
    <w:link w:val="Heading4"/>
    <w:uiPriority w:val="9"/>
    <w:semiHidden/>
    <w:rsid w:val="00EA20DF"/>
    <w:rPr>
      <w:rFonts w:asciiTheme="majorHAnsi" w:eastAsiaTheme="majorEastAsia" w:hAnsiTheme="majorHAnsi" w:cstheme="majorBidi"/>
      <w:i/>
      <w:iCs/>
      <w:color w:val="2F5496" w:themeColor="accent1" w:themeShade="BF"/>
      <w:sz w:val="24"/>
      <w:szCs w:val="24"/>
      <w:lang w:val="en-US" w:eastAsia="ja-JP"/>
    </w:rPr>
  </w:style>
  <w:style w:type="character" w:customStyle="1" w:styleId="Heading1Char">
    <w:name w:val="Heading 1 Char"/>
    <w:basedOn w:val="DefaultParagraphFont"/>
    <w:link w:val="Heading1"/>
    <w:uiPriority w:val="9"/>
    <w:rsid w:val="00A6311A"/>
    <w:rPr>
      <w:rFonts w:asciiTheme="majorHAnsi" w:eastAsiaTheme="majorEastAsia" w:hAnsiTheme="majorHAnsi" w:cstheme="majorBidi"/>
      <w:color w:val="2F5496" w:themeColor="accent1" w:themeShade="BF"/>
      <w:sz w:val="32"/>
      <w:szCs w:val="32"/>
      <w:lang w:val="en-US" w:eastAsia="ja-JP"/>
    </w:rPr>
  </w:style>
  <w:style w:type="paragraph" w:styleId="Revision">
    <w:name w:val="Revision"/>
    <w:hidden/>
    <w:uiPriority w:val="99"/>
    <w:semiHidden/>
    <w:rsid w:val="00D754A8"/>
    <w:rPr>
      <w:lang w:eastAsia="ja-JP"/>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character" w:customStyle="1" w:styleId="Menzionenonrisolta1">
    <w:name w:val="Menzione non risolta1"/>
    <w:basedOn w:val="DefaultParagraphFont"/>
    <w:uiPriority w:val="99"/>
    <w:semiHidden/>
    <w:unhideWhenUsed/>
    <w:rsid w:val="005D26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2689564">
      <w:bodyDiv w:val="1"/>
      <w:marLeft w:val="0"/>
      <w:marRight w:val="0"/>
      <w:marTop w:val="0"/>
      <w:marBottom w:val="0"/>
      <w:divBdr>
        <w:top w:val="none" w:sz="0" w:space="0" w:color="auto"/>
        <w:left w:val="none" w:sz="0" w:space="0" w:color="auto"/>
        <w:bottom w:val="none" w:sz="0" w:space="0" w:color="auto"/>
        <w:right w:val="none" w:sz="0" w:space="0" w:color="auto"/>
      </w:divBdr>
      <w:divsChild>
        <w:div w:id="1831942118">
          <w:marLeft w:val="640"/>
          <w:marRight w:val="0"/>
          <w:marTop w:val="0"/>
          <w:marBottom w:val="0"/>
          <w:divBdr>
            <w:top w:val="none" w:sz="0" w:space="0" w:color="auto"/>
            <w:left w:val="none" w:sz="0" w:space="0" w:color="auto"/>
            <w:bottom w:val="none" w:sz="0" w:space="0" w:color="auto"/>
            <w:right w:val="none" w:sz="0" w:space="0" w:color="auto"/>
          </w:divBdr>
        </w:div>
        <w:div w:id="709572614">
          <w:marLeft w:val="640"/>
          <w:marRight w:val="0"/>
          <w:marTop w:val="0"/>
          <w:marBottom w:val="0"/>
          <w:divBdr>
            <w:top w:val="none" w:sz="0" w:space="0" w:color="auto"/>
            <w:left w:val="none" w:sz="0" w:space="0" w:color="auto"/>
            <w:bottom w:val="none" w:sz="0" w:space="0" w:color="auto"/>
            <w:right w:val="none" w:sz="0" w:space="0" w:color="auto"/>
          </w:divBdr>
        </w:div>
        <w:div w:id="216212726">
          <w:marLeft w:val="640"/>
          <w:marRight w:val="0"/>
          <w:marTop w:val="0"/>
          <w:marBottom w:val="0"/>
          <w:divBdr>
            <w:top w:val="none" w:sz="0" w:space="0" w:color="auto"/>
            <w:left w:val="none" w:sz="0" w:space="0" w:color="auto"/>
            <w:bottom w:val="none" w:sz="0" w:space="0" w:color="auto"/>
            <w:right w:val="none" w:sz="0" w:space="0" w:color="auto"/>
          </w:divBdr>
        </w:div>
        <w:div w:id="869342102">
          <w:marLeft w:val="640"/>
          <w:marRight w:val="0"/>
          <w:marTop w:val="0"/>
          <w:marBottom w:val="0"/>
          <w:divBdr>
            <w:top w:val="none" w:sz="0" w:space="0" w:color="auto"/>
            <w:left w:val="none" w:sz="0" w:space="0" w:color="auto"/>
            <w:bottom w:val="none" w:sz="0" w:space="0" w:color="auto"/>
            <w:right w:val="none" w:sz="0" w:space="0" w:color="auto"/>
          </w:divBdr>
        </w:div>
        <w:div w:id="383916691">
          <w:marLeft w:val="640"/>
          <w:marRight w:val="0"/>
          <w:marTop w:val="0"/>
          <w:marBottom w:val="0"/>
          <w:divBdr>
            <w:top w:val="none" w:sz="0" w:space="0" w:color="auto"/>
            <w:left w:val="none" w:sz="0" w:space="0" w:color="auto"/>
            <w:bottom w:val="none" w:sz="0" w:space="0" w:color="auto"/>
            <w:right w:val="none" w:sz="0" w:space="0" w:color="auto"/>
          </w:divBdr>
        </w:div>
        <w:div w:id="1479690921">
          <w:marLeft w:val="640"/>
          <w:marRight w:val="0"/>
          <w:marTop w:val="0"/>
          <w:marBottom w:val="0"/>
          <w:divBdr>
            <w:top w:val="none" w:sz="0" w:space="0" w:color="auto"/>
            <w:left w:val="none" w:sz="0" w:space="0" w:color="auto"/>
            <w:bottom w:val="none" w:sz="0" w:space="0" w:color="auto"/>
            <w:right w:val="none" w:sz="0" w:space="0" w:color="auto"/>
          </w:divBdr>
        </w:div>
        <w:div w:id="163282238">
          <w:marLeft w:val="640"/>
          <w:marRight w:val="0"/>
          <w:marTop w:val="0"/>
          <w:marBottom w:val="0"/>
          <w:divBdr>
            <w:top w:val="none" w:sz="0" w:space="0" w:color="auto"/>
            <w:left w:val="none" w:sz="0" w:space="0" w:color="auto"/>
            <w:bottom w:val="none" w:sz="0" w:space="0" w:color="auto"/>
            <w:right w:val="none" w:sz="0" w:space="0" w:color="auto"/>
          </w:divBdr>
        </w:div>
        <w:div w:id="1698389278">
          <w:marLeft w:val="640"/>
          <w:marRight w:val="0"/>
          <w:marTop w:val="0"/>
          <w:marBottom w:val="0"/>
          <w:divBdr>
            <w:top w:val="none" w:sz="0" w:space="0" w:color="auto"/>
            <w:left w:val="none" w:sz="0" w:space="0" w:color="auto"/>
            <w:bottom w:val="none" w:sz="0" w:space="0" w:color="auto"/>
            <w:right w:val="none" w:sz="0" w:space="0" w:color="auto"/>
          </w:divBdr>
        </w:div>
        <w:div w:id="1184708097">
          <w:marLeft w:val="640"/>
          <w:marRight w:val="0"/>
          <w:marTop w:val="0"/>
          <w:marBottom w:val="0"/>
          <w:divBdr>
            <w:top w:val="none" w:sz="0" w:space="0" w:color="auto"/>
            <w:left w:val="none" w:sz="0" w:space="0" w:color="auto"/>
            <w:bottom w:val="none" w:sz="0" w:space="0" w:color="auto"/>
            <w:right w:val="none" w:sz="0" w:space="0" w:color="auto"/>
          </w:divBdr>
        </w:div>
      </w:divsChild>
    </w:div>
    <w:div w:id="925847648">
      <w:bodyDiv w:val="1"/>
      <w:marLeft w:val="0"/>
      <w:marRight w:val="0"/>
      <w:marTop w:val="0"/>
      <w:marBottom w:val="0"/>
      <w:divBdr>
        <w:top w:val="none" w:sz="0" w:space="0" w:color="auto"/>
        <w:left w:val="none" w:sz="0" w:space="0" w:color="auto"/>
        <w:bottom w:val="none" w:sz="0" w:space="0" w:color="auto"/>
        <w:right w:val="none" w:sz="0" w:space="0" w:color="auto"/>
      </w:divBdr>
    </w:div>
    <w:div w:id="1471095214">
      <w:bodyDiv w:val="1"/>
      <w:marLeft w:val="0"/>
      <w:marRight w:val="0"/>
      <w:marTop w:val="0"/>
      <w:marBottom w:val="0"/>
      <w:divBdr>
        <w:top w:val="none" w:sz="0" w:space="0" w:color="auto"/>
        <w:left w:val="none" w:sz="0" w:space="0" w:color="auto"/>
        <w:bottom w:val="none" w:sz="0" w:space="0" w:color="auto"/>
        <w:right w:val="none" w:sz="0" w:space="0" w:color="auto"/>
      </w:divBdr>
    </w:div>
    <w:div w:id="1549146842">
      <w:bodyDiv w:val="1"/>
      <w:marLeft w:val="0"/>
      <w:marRight w:val="0"/>
      <w:marTop w:val="0"/>
      <w:marBottom w:val="0"/>
      <w:divBdr>
        <w:top w:val="none" w:sz="0" w:space="0" w:color="auto"/>
        <w:left w:val="none" w:sz="0" w:space="0" w:color="auto"/>
        <w:bottom w:val="none" w:sz="0" w:space="0" w:color="auto"/>
        <w:right w:val="none" w:sz="0" w:space="0" w:color="auto"/>
      </w:divBdr>
    </w:div>
    <w:div w:id="1844010776">
      <w:bodyDiv w:val="1"/>
      <w:marLeft w:val="0"/>
      <w:marRight w:val="0"/>
      <w:marTop w:val="0"/>
      <w:marBottom w:val="0"/>
      <w:divBdr>
        <w:top w:val="none" w:sz="0" w:space="0" w:color="auto"/>
        <w:left w:val="none" w:sz="0" w:space="0" w:color="auto"/>
        <w:bottom w:val="none" w:sz="0" w:space="0" w:color="auto"/>
        <w:right w:val="none" w:sz="0" w:space="0" w:color="auto"/>
      </w:divBdr>
      <w:divsChild>
        <w:div w:id="678770648">
          <w:marLeft w:val="0"/>
          <w:marRight w:val="0"/>
          <w:marTop w:val="0"/>
          <w:marBottom w:val="0"/>
          <w:divBdr>
            <w:top w:val="none" w:sz="0" w:space="0" w:color="auto"/>
            <w:left w:val="none" w:sz="0" w:space="0" w:color="auto"/>
            <w:bottom w:val="none" w:sz="0" w:space="0" w:color="auto"/>
            <w:right w:val="none" w:sz="0" w:space="0" w:color="auto"/>
          </w:divBdr>
          <w:divsChild>
            <w:div w:id="384111562">
              <w:marLeft w:val="0"/>
              <w:marRight w:val="0"/>
              <w:marTop w:val="0"/>
              <w:marBottom w:val="0"/>
              <w:divBdr>
                <w:top w:val="none" w:sz="0" w:space="0" w:color="auto"/>
                <w:left w:val="none" w:sz="0" w:space="0" w:color="auto"/>
                <w:bottom w:val="none" w:sz="0" w:space="0" w:color="auto"/>
                <w:right w:val="none" w:sz="0" w:space="0" w:color="auto"/>
              </w:divBdr>
              <w:divsChild>
                <w:div w:id="698314880">
                  <w:marLeft w:val="0"/>
                  <w:marRight w:val="0"/>
                  <w:marTop w:val="0"/>
                  <w:marBottom w:val="0"/>
                  <w:divBdr>
                    <w:top w:val="none" w:sz="0" w:space="0" w:color="auto"/>
                    <w:left w:val="none" w:sz="0" w:space="0" w:color="auto"/>
                    <w:bottom w:val="none" w:sz="0" w:space="0" w:color="auto"/>
                    <w:right w:val="none" w:sz="0" w:space="0" w:color="auto"/>
                  </w:divBdr>
                  <w:divsChild>
                    <w:div w:id="1078789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5368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researchdata.cab.unipd.it/id/eprint/1544"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hyperlink" Target="mailto:arianna.calistri@unipd.it"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mailto:elisa.cimetta@unipd.it" TargetMode="Externa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137877A-74F2-4EA1-901A-A0DDE32DECA0}">
  <we:reference id="wa104382081" version="1.55.1.0" store="it-IT" storeType="OMEX"/>
  <we:alternateReferences>
    <we:reference id="WA104382081" version="1.55.1.0" store="" storeType="OMEX"/>
  </we:alternateReferences>
  <we:properties>
    <we:property name="MENDELEY_CITATIONS" value="[{&quot;citationID&quot;:&quot;MENDELEY_CITATION_303c8ada-68cf-41d3-a005-ee5315fb6590&quot;,&quot;properties&quot;:{&quot;noteIndex&quot;:0},&quot;isEdited&quot;:false,&quot;manualOverride&quot;:{&quot;isManuallyOverridden&quot;:false,&quot;citeprocText&quot;:&quot;[1]&quot;,&quot;manualOverrideText&quot;:&quot;&quot;},&quot;citationTag&quot;:&quot;MENDELEY_CITATION_v3_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&quot;,&quot;citationItems&quot;:[{&quot;id&quot;:&quot;b07b3845-4cb8-3395-8e22-2064c7682d1d&quot;,&quot;itemData&quot;:{&quot;type&quot;:&quot;article-journal&quot;,&quot;id&quot;:&quot;b07b3845-4cb8-3395-8e22-2064c7682d1d&quot;,&quot;title&quot;:&quot;Zebularine protects against blood-brain-barrier (BBB) disruption through increasing the expression of zona occludens-1 (ZO-1) and vascular endothelial (VE)-cadherin&quot;,&quot;author&quot;:[{&quot;family&quot;:&quot;Zeng&quot;,&quot;given&quot;:&quot;Xiangliang&quot;,&quot;parse-names&quot;:false,&quot;dropping-particle&quot;:&quot;&quot;,&quot;non-dropping-particle&quot;:&quot;&quot;},{&quot;family&quot;:&quot;He&quot;,&quot;given&quot;:&quot;Guohua&quot;,&quot;parse-names&quot;:false,&quot;dropping-particle&quot;:&quot;&quot;,&quot;non-dropping-particle&quot;:&quot;&quot;},{&quot;family&quot;:&quot;Yang&quot;,&quot;given&quot;:&quot;Xirong&quot;,&quot;parse-names&quot;:false,&quot;dropping-particle&quot;:&quot;&quot;,&quot;non-dropping-particle&quot;:&quot;&quot;},{&quot;family&quot;:&quot;Xu&quot;,&quot;given&quot;:&quot;Guoyao&quot;,&quot;parse-names&quot;:false,&quot;dropping-particle&quot;:&quot;&quot;,&quot;non-dropping-particle&quot;:&quot;&quot;},{&quot;family&quot;:&quot;Tang&quot;,&quot;given&quot;:&quot;Yidan&quot;,&quot;parse-names&quot;:false,&quot;dropping-particle&quot;:&quot;&quot;,&quot;non-dropping-particle&quot;:&quot;&quot;},{&quot;family&quot;:&quot;Li&quot;,&quot;given&quot;:&quot;Hanwen&quot;,&quot;parse-names&quot;:false,&quot;dropping-particle&quot;:&quot;&quot;,&quot;non-dropping-particle&quot;:&quot;&quot;},{&quot;family&quot;:&quot;Yu&quot;,&quot;given&quot;:&quot;Bing&quot;,&quot;parse-names&quot;:false,&quot;dropping-particle&quot;:&quot;&quot;,&quot;non-dropping-particle&quot;:&quot;&quot;},{&quot;family&quot;:&quot;Wang&quot;,&quot;given&quot;:&quot;Zhen&quot;,&quot;parse-names&quot;:false,&quot;dropping-particle&quot;:&quot;&quot;,&quot;non-dropping-particle&quot;:&quot;&quot;},{&quot;family&quot;:&quot;Xu&quot;,&quot;given&quot;:&quot;Wei&quot;,&quot;parse-names&quot;:false,&quot;dropping-particle&quot;:&quot;&quot;,&quot;non-dropping-particle&quot;:&quot;&quot;},{&quot;family&quot;:&quot;Song&quot;,&quot;given&quot;:&quot;Kangping&quot;,&quot;parse-names&quot;:false,&quot;dropping-particle&quot;:&quot;&quot;,&quot;non-dropping-particle&quot;:&quot;&quot;}],&quot;container-title&quot;:&quot;Bioengineered&quot;,&quot;container-title-short&quot;:&quot;Bioengineered&quot;,&quot;accessed&quot;:{&quot;date-parts&quot;:[[2025,1,24]]},&quot;DOI&quot;:&quot;10.1080/21655979.2021.2024323&quot;,&quot;ISSN&quot;:&quot;2165-5987&quot;,&quot;PMID&quot;:&quot;35112992&quot;,&quot;URL&quot;:&quot;https://pubmed.ncbi.nlm.nih.gov/35112992/&quot;,&quot;issued&quot;:{&quot;date-parts&quot;:[[2022]]},&quot;page&quot;:&quot;4441-4454&quot;,&quot;abstract&quot;:&quot;Blood-brain-barrier (BBB) disruption is an important pathological characteristic of ischemic stroke (IS) and mainly results from dysfunction of brain vascular endothelial cells and tight junctions. Zebularine is a novel inhibitor of DNA methyltransferase (DNMT). Here, we assessed its effects on BBB disruption in IS. Firstly, we reported that Zebularine maintained BBB integrity in middle cerebral artery occlusion (MCAO) mice by increasing the expressions of zona occludens-1 (ZO-1) and vascular endothelial (VE)-cadherin. Importantly, we found that Zebularine reduced the production of pro-inflammatory cytokines, attenuated brain edema, and improved neurological deficits. In in vitro experiments, the bEnd.3 brain endothelial cells were exposed to oxygen and glucose deprivation/reoxygenation (OGD/R), and the protective effects of Zebularine were assessed. Our findings demonstrated that Zebularine prevented OGD/R-induced cytotoxicity by reducing the release of lactate dehydrogenase (LDH). Additionally, Zebularine protected bEnd.3 cells against OGD/R-induced hyper-permeability and reduction of trans-endothelial electrical resistance (TEER). Notably, we found that treatment with Zebularine activated the Adenosine 5ʹ-monophosphate (AMP)-activated protein kinase (AMPK) pathway by increasing the phosphorylation of adenosine monophosphate-activated protein kinase α (AMPKα). Blockage of AMPKα using its specific inhibitor compound C abolished the beneficial effects of Zebularine in mitigating endothelial hyper-permeability by reducing the expressions of ZO-1 and VE-cadherin. These findings suggest that the protective effects of Zebularine against OGD/R-induced endothelial hyper-permeability are mediated by the activation of AMPKα. In conclusion, our study sheds light on the potential application of Zebularine in the treatment of IS.&quot;,&quot;publisher&quot;:&quot;Bioengineered&quot;,&quot;issue&quot;:&quot;2&quot;,&quot;volume&quot;:&quot;13&quot;},&quot;isTemporary&quot;:false}]},{&quot;citationID&quot;:&quot;MENDELEY_CITATION_f0a8e920-d285-4713-b869-0d01c9ef72c5&quot;,&quot;properties&quot;:{&quot;noteIndex&quot;:0},&quot;isEdited&quot;:false,&quot;manualOverride&quot;:{&quot;isManuallyOverridden&quot;:false,&quot;citeprocText&quot;:&quot;[2]&quot;,&quot;manualOverrideText&quot;:&quot;&quot;},&quot;citationTag&quot;:&quot;MENDELEY_CITATION_v3_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&quot;,&quot;citationItems&quot;:[{&quot;id&quot;:&quot;cbc7b948-a86b-30ac-8d35-ef1ef8877a62&quot;,&quot;itemData&quot;:{&quot;type&quot;:&quot;article-journal&quot;,&quot;id&quot;:&quot;cbc7b948-a86b-30ac-8d35-ef1ef8877a62&quot;,&quot;title&quot;:&quot;Astrocytes are necessary for blood-brain barrier maintenance in the adult mouse brain&quot;,&quot;author&quot;:[{&quot;family&quot;:&quot;Heithoff&quot;,&quot;given&quot;:&quot;Benjamin P.&quot;,&quot;parse-names&quot;:false,&quot;dropping-particle&quot;:&quot;&quot;,&quot;non-dropping-particle&quot;:&quot;&quot;},{&quot;family&quot;:&quot;George&quot;,&quot;given&quot;:&quot;Kijana K.&quot;,&quot;parse-names&quot;:false,&quot;dropping-particle&quot;:&quot;&quot;,&quot;non-dropping-particle&quot;:&quot;&quot;},{&quot;family&quot;:&quot;Phares&quot;,&quot;given&quot;:&quot;Aubrey N.&quot;,&quot;parse-names&quot;:false,&quot;dropping-particle&quot;:&quot;&quot;,&quot;non-dropping-particle&quot;:&quot;&quot;},{&quot;family&quot;:&quot;Zuidhoek&quot;,&quot;given&quot;:&quot;Ivan A.&quot;,&quot;parse-names&quot;:false,&quot;dropping-particle&quot;:&quot;&quot;,&quot;non-dropping-particle&quot;:&quot;&quot;},{&quot;family&quot;:&quot;Munoz-Ballester&quot;,&quot;given&quot;:&quot;Carmen&quot;,&quot;parse-names&quot;:false,&quot;dropping-particle&quot;:&quot;&quot;,&quot;non-dropping-particle&quot;:&quot;&quot;},{&quot;family&quot;:&quot;Robel&quot;,&quot;given&quot;:&quot;Stefanie&quot;,&quot;parse-names&quot;:false,&quot;dropping-particle&quot;:&quot;&quot;,&quot;non-dropping-particle&quot;:&quot;&quot;}],&quot;container-title&quot;:&quot;Glia&quot;,&quot;container-title-short&quot;:&quot;Glia&quot;,&quot;accessed&quot;:{&quot;date-parts&quot;:[[2025,1,24]]},&quot;DOI&quot;:&quot;10.1002/GLIA.23908&quot;,&quot;ISSN&quot;:&quot;1098-1136&quot;,&quot;PMID&quot;:&quot;32955153&quot;,&quot;URL&quot;:&quot;https://pubmed.ncbi.nlm.nih.gov/32955153/&quot;,&quot;issued&quot;:{&quot;date-parts&quot;:[[2021,2,1]]},&quot;page&quot;:&quot;436-472&quot;,&quot;abstract&quot;:&quot;In the adult brain, multiple cell types are known to produce factors that regulate blood–brain barrier (BBB) properties, including astrocytes. Yet several recent studies disputed a role for mature astrocytes at the BBB. To determine if astrocytes contribute a nonredundant and necessary function in maintaining the adult BBB, we used a mouse model of tamoxifen-inducible astrocyte ablation. In adult mice, tamoxifen induction caused sparse apoptotic astrocyte cell death within 2 hr. Indicative of BBB damage, leakage of the small molecule Cadaverine, and the large plasma protein fibrinogen into the brain parenchyma indicative of BBB damage was detected as early as astrocyte ablation was present. Vessels within and close to regions of astrocyte loss had lower expression of the tight junction protein zonula occludens-1 while endothelial glucose transporter 1 expression was undisturbed. Cadaverine leakage persisted for several weeks suggesting a lack of barrier repair. This is consistent with the finding that ablated astrocytes were not replaced. Adjacent astrocytes responded with partial nonproliferative astrogliosis, characterized by morphological changes and delayed phosphorylation of STAT3, which restricted dye leakage to the brain and vessel surface areas lacking coverage by astrocytes 1 month after ablation. In conclusion, astrocytes are necessary to maintain BBB integrity in the adult brain. BBB-regulating factors secreted by other cell types, such as pericytes, are not sufficient to compensate for astrocyte loss.&quot;,&quot;publisher&quot;:&quot;Glia&quot;,&quot;issue&quot;:&quot;2&quot;,&quot;volume&quot;:&quot;69&quot;},&quot;isTemporary&quot;:false}]},{&quot;citationID&quot;:&quot;MENDELEY_CITATION_4d84fccd-05ed-48a7-805a-53c9151cc619&quot;,&quot;properties&quot;:{&quot;noteIndex&quot;:0},&quot;isEdited&quot;:false,&quot;manualOverride&quot;:{&quot;isManuallyOverridden&quot;:false,&quot;citeprocText&quot;:&quot;[3]&quot;,&quot;manualOverrideText&quot;:&quot;&quot;},&quot;citationTag&quot;:&quot;MENDELEY_CITATION_v3_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&quot;,&quot;citationItems&quot;:[{&quot;id&quot;:&quot;75282f6c-6756-3024-9e00-e109177f3f2b&quot;,&quot;itemData&quot;:{&quot;type&quot;:&quot;article-journal&quot;,&quot;id&quot;:&quot;75282f6c-6756-3024-9e00-e109177f3f2b&quot;,&quot;title&quot;:&quot;Seroprevalence of Herpes Simplex Virus Types 1 and 2—United States, 1999–2010&quot;,&quot;author&quot;:[{&quot;family&quot;:&quot;Bradley&quot;,&quot;given&quot;:&quot;Heather&quot;,&quot;parse-names&quot;:false,&quot;dropping-particle&quot;:&quot;&quot;,&quot;non-dropping-particle&quot;:&quot;&quot;},{&quot;family&quot;:&quot;Markowitz&quot;,&quot;given&quot;:&quot;Lauri E.&quot;,&quot;parse-names&quot;:false,&quot;dropping-particle&quot;:&quot;&quot;,&quot;non-dropping-particle&quot;:&quot;&quot;},{&quot;family&quot;:&quot;Gibson&quot;,&quot;given&quot;:&quot;Theda&quot;,&quot;parse-names&quot;:false,&quot;dropping-particle&quot;:&quot;&quot;,&quot;non-dropping-particle&quot;:&quot;&quot;},{&quot;family&quot;:&quot;McQuillan&quot;,&quot;given&quot;:&quot;Geraldine M.&quot;,&quot;parse-names&quot;:false,&quot;dropping-particle&quot;:&quot;&quot;,&quot;non-dropping-particle&quot;:&quot;&quot;}],&quot;container-title&quot;:&quot;The Journal of Infectious Diseases&quot;,&quot;container-title-short&quot;:&quot;J Infect Dis&quot;,&quot;accessed&quot;:{&quot;date-parts&quot;:[[2021,7,18]]},&quot;DOI&quot;:&quot;10.1093/INFDIS/JIT458&quot;,&quot;ISSN&quot;:&quot;0022-1899&quot;,&quot;URL&quot;:&quot;https://academic.oup.com/jid/article/209/3/325/840717&quot;,&quot;issued&quot;:{&quot;date-parts&quot;:[[2014,2,1]]},&quot;page&quot;:&quot;325-333&quot;,&quot;abstract&quot;:&quot;Background. Herpes simplex virus types 1 and 2 (HSV-1 and HSV-2) are common infections with serious sequelae. HSV-1 is an increasingly important cause of genital herpes in industrialized countries.Methods. Using nationally representative data from the National Health and Nutrition Examination Survey (NHANES), we examined HSV-1 and HSV-2 seroprevalence among 14-to 49-year-olds in the United States. We estimated seroprevalence in 1999-2004 and 2005-2010, stratified by sociodemographic characteristics and sexual behaviors. We also reviewed HSV-1 and HSV-2 seroprevalence from 1976-1980 to 2005-2010.Results. In 2005-2010, the seroprevalence of HSV-1 was 53.9%, and the seroprevalence of HSV-2 was 15.7%. From 1999-2004 to 2005-2010, HSV-1 seroprevalence declined by nearly 7% (P &lt;. 01), but HSV-2 seroprevalence did not change significantly. The largest decline in HSV-1 seroprevalence from 1999-2004 to 2005-2010 was observed among adolescents aged 14-19 years, among whom seroprevalence declined by nearly 23%, from 39.0% to 30.1% (P &lt;. 01). In this age group, HSV-1 seroprevalence declined &gt;29% from 1976-1980 to 2005-2010 (P &lt;. 01).Conclusions. An increasing number of adolescents lack HSV-1 antibodies at sexual debut. In the absence of declines in HSV-2 infections, the prevalence of genital herpes may increase. © 2013 The Author.&quot;,&quot;publisher&quot;:&quot;Oxford Academic&quot;,&quot;issue&quot;:&quot;3&quot;,&quot;volume&quot;:&quot;209&quot;},&quot;isTemporary&quot;:false}]},{&quot;citationID&quot;:&quot;MENDELEY_CITATION_9b2627bb-0b5d-474b-b41e-7c0ccee9f06e&quot;,&quot;properties&quot;:{&quot;noteIndex&quot;:0},&quot;isEdited&quot;:false,&quot;manualOverride&quot;:{&quot;isManuallyOverridden&quot;:false,&quot;citeprocText&quot;:&quot;[4,5]&quot;,&quot;manualOverrideText&quot;:&quot;&quot;},&quot;citationTag&quot;:&quot;MENDELEY_CITATION_v3_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&quot;,&quot;citationItems&quot;:[{&quot;id&quot;:&quot;d85a88ba-693b-3ce4-9d14-520d3e8c2311&quot;,&quot;itemData&quot;:{&quot;type&quot;:&quot;article-journal&quot;,&quot;id&quot;:&quot;d85a88ba-693b-3ce4-9d14-520d3e8c2311&quot;,&quot;title&quot;:&quot;Human Monocytes Are Suitable Carriers for the Delivery of Oncolytic Herpes Simplex Virus Type 1 In Vitro and in a Chicken Embryo Chorioallantoic Membrane Model of Cancer&quot;,&quot;author&quot;:[{&quot;family&quot;:&quot;Reale&quot;,&quot;given&quot;:&quot;Alberto&quot;,&quot;parse-names&quot;:false,&quot;dropping-particle&quot;:&quot;&quot;,&quot;non-dropping-particle&quot;:&quot;&quot;},{&quot;family&quot;:&quot;Krutzke&quot;,&quot;given&quot;:&quot;Lea&quot;,&quot;parse-names&quot;:false,&quot;dropping-particle&quot;:&quot;&quot;,&quot;non-dropping-particle&quot;:&quot;&quot;},{&quot;family&quot;:&quot;Cadamuro&quot;,&quot;given&quot;:&quot;Massimiliano&quot;,&quot;parse-names&quot;:false,&quot;dropping-particle&quot;:&quot;&quot;,&quot;non-dropping-particle&quot;:&quot;&quot;},{&quot;family&quot;:&quot;Vitiello&quot;,&quot;given&quot;:&quot;Adriana&quot;,&quot;parse-names&quot;:false,&quot;dropping-particle&quot;:&quot;&quot;,&quot;non-dropping-particle&quot;:&quot;&quot;},{&quot;family&quot;:&quot;Einem&quot;,&quot;given&quot;:&quot;Jens&quot;,&quot;parse-names&quot;:false,&quot;dropping-particle&quot;:&quot;&quot;,&quot;non-dropping-particle&quot;:&quot;von&quot;},{&quot;family&quot;:&quot;Kochanek&quot;,&quot;given&quot;:&quot;Stefan&quot;,&quot;parse-names&quot;:false,&quot;dropping-particle&quot;:&quot;&quot;,&quot;non-dropping-particle&quot;:&quot;&quot;},{&quot;family&quot;:&quot;Palù&quot;,&quot;given&quot;:&quot;Giorgio&quot;,&quot;parse-names&quot;:false,&quot;dropping-particle&quot;:&quot;&quot;,&quot;non-dropping-particle&quot;:&quot;&quot;},{&quot;family&quot;:&quot;Parolin&quot;,&quot;given&quot;:&quot;Cristina&quot;,&quot;parse-names&quot;:false,&quot;dropping-particle&quot;:&quot;&quot;,&quot;non-dropping-particle&quot;:&quot;&quot;},{&quot;family&quot;:&quot;Calistri&quot;,&quot;given&quot;:&quot;Arianna&quot;,&quot;parse-names&quot;:false,&quot;dropping-particle&quot;:&quot;&quot;,&quot;non-dropping-particle&quot;:&quot;&quot;}],&quot;container-title&quot;:&quot;International journal of molecular sciences&quot;,&quot;container-title-short&quot;:&quot;Int J Mol Sci&quot;,&quot;accessed&quot;:{&quot;date-parts&quot;:[[2023,6,29]]},&quot;DOI&quot;:&quot;10.3390/IJMS24119255&quot;,&quot;ISSN&quot;:&quot;1422-0067&quot;,&quot;PMID&quot;:&quot;37298206&quot;,&quot;URL&quot;:&quot;https://pubmed.ncbi.nlm.nih.gov/37298206/&quot;,&quot;issued&quot;:{&quot;date-parts&quot;:[[2023,6,1]]},&quot;abstract&quot;:&quo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quot;,&quot;publisher&quot;:&quot;Int J Mol Sci&quot;,&quot;issue&quot;:&quot;11&quot;,&quot;volume&quot;:&quot;24&quot;},&quot;isTemporary&quot;:false},{&quot;id&quot;:&quot;a146df91-8f67-339a-be12-b6ba30c41499&quot;,&quot;itemData&quot;:{&quot;type&quot;:&quot;article-journal&quot;,&quot;id&quot;:&quot;a146df91-8f67-339a-be12-b6ba30c41499&quot;,&quot;title&quot;:&quot;Herpes simplex virus infection in human monocyte cultures: dose-dependent inhibition of monocyte differentiation resulting in abortive infection&quot;,&quot;author&quot;:[{&quot;family&quot;:&quot;Linnavuori&quot;,&quot;given&quot;:&quot;K.&quot;,&quot;parse-names&quot;:false,&quot;dropping-particle&quot;:&quot;&quot;,&quot;non-dropping-particle&quot;:&quot;&quot;},{&quot;family&quot;:&quot;Hovi&quot;,&quot;given&quot;:&quot;T.&quot;,&quot;parse-names&quot;:false,&quot;dropping-particle&quot;:&quot;&quot;,&quot;non-dropping-particle&quot;:&quot;&quot;}],&quot;container-title&quot;:&quot;The Journal of general virology&quot;,&quot;container-title-short&quot;:&quot;J Gen Virol&quot;,&quot;accessed&quot;:{&quot;date-parts&quot;:[[2022,5,24]]},&quot;DOI&quot;:&quot;10.1099/0022-1317-52-2-381&quot;,&quot;ISSN&quot;:&quot;0022-1317&quot;,&quot;PMID&quot;:&quot;6270239&quot;,&quot;URL&quot;:&quot;https://pubmed.ncbi.nlm.nih.gov/6270239/&quot;,&quot;issued&quot;:{&quot;date-parts&quot;:[[1981]]},&quot;page&quot;:&quot;381-385&quot;,&quot;abstract&quot;:&quot;Monocyte-enriched cultures of human blood leukocytes were exposed to herpes simplex virus (HSV) at different multiplicities of infection (m.o.i., from about 10 to 0.0001 p.f.u./cell. Highest maximum progency virus titres were invariably obtained with low initial m.o.i., i.e. those between 0.01 and 0.0001 p.f.u./cell, while little if any infectious progeny was produced in cultures inoculated with the highest virus concentrations. By the time of maximum virus production, i.e. 5 to 7 days after inoculation, monocytes in the uninfected cultures had mostly differentiated to macrophages. This differentiation was partially inhibited in cultures initially exposed to the higher concentrations of HSV. Synthesis of HSV antigens was detected by indirect immunofluorescence both in the high m.o.i. cultures and in the productively infected cultures. By this criterion, a maximum of 10 to 15% of all adherent cells became infected in both culture types. It is suggested that the higher doses of HSV, by inhibiting cellular maturation, also prevent the subsequent completion of its own infectious cycle.&quot;,&quot;publisher&quot;:&quot;J Gen Virol&quot;,&quot;issue&quot;:&quot;Pt 2&quot;,&quot;volume&quot;:&quot;52&quot;},&quot;isTemporary&quot;:false}]},{&quot;citationID&quot;:&quot;MENDELEY_CITATION_6f21613f-7c15-4751-8795-18cfdc66ac07&quot;,&quot;properties&quot;:{&quot;noteIndex&quot;:0},&quot;isEdited&quot;:false,&quot;manualOverride&quot;:{&quot;isManuallyOverridden&quot;:false,&quot;citeprocText&quot;:&quot;[4]&quot;,&quot;manualOverrideText&quot;:&quot;&quot;},&quot;citationTag&quot;:&quot;MENDELEY_CITATION_v3_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&quot;,&quot;citationItems&quot;:[{&quot;id&quot;:&quot;d85a88ba-693b-3ce4-9d14-520d3e8c2311&quot;,&quot;itemData&quot;:{&quot;type&quot;:&quot;article-journal&quot;,&quot;id&quot;:&quot;d85a88ba-693b-3ce4-9d14-520d3e8c2311&quot;,&quot;title&quot;:&quot;Human Monocytes Are Suitable Carriers for the Delivery of Oncolytic Herpes Simplex Virus Type 1 In Vitro and in a Chicken Embryo Chorioallantoic Membrane Model of Cancer&quot;,&quot;author&quot;:[{&quot;family&quot;:&quot;Reale&quot;,&quot;given&quot;:&quot;Alberto&quot;,&quot;parse-names&quot;:false,&quot;dropping-particle&quot;:&quot;&quot;,&quot;non-dropping-particle&quot;:&quot;&quot;},{&quot;family&quot;:&quot;Krutzke&quot;,&quot;given&quot;:&quot;Lea&quot;,&quot;parse-names&quot;:false,&quot;dropping-particle&quot;:&quot;&quot;,&quot;non-dropping-particle&quot;:&quot;&quot;},{&quot;family&quot;:&quot;Cadamuro&quot;,&quot;given&quot;:&quot;Massimiliano&quot;,&quot;parse-names&quot;:false,&quot;dropping-particle&quot;:&quot;&quot;,&quot;non-dropping-particle&quot;:&quot;&quot;},{&quot;family&quot;:&quot;Vitiello&quot;,&quot;given&quot;:&quot;Adriana&quot;,&quot;parse-names&quot;:false,&quot;dropping-particle&quot;:&quot;&quot;,&quot;non-dropping-particle&quot;:&quot;&quot;},{&quot;family&quot;:&quot;Einem&quot;,&quot;given&quot;:&quot;Jens&quot;,&quot;parse-names&quot;:false,&quot;dropping-particle&quot;:&quot;&quot;,&quot;non-dropping-particle&quot;:&quot;von&quot;},{&quot;family&quot;:&quot;Kochanek&quot;,&quot;given&quot;:&quot;Stefan&quot;,&quot;parse-names&quot;:false,&quot;dropping-particle&quot;:&quot;&quot;,&quot;non-dropping-particle&quot;:&quot;&quot;},{&quot;family&quot;:&quot;Palù&quot;,&quot;given&quot;:&quot;Giorgio&quot;,&quot;parse-names&quot;:false,&quot;dropping-particle&quot;:&quot;&quot;,&quot;non-dropping-particle&quot;:&quot;&quot;},{&quot;family&quot;:&quot;Parolin&quot;,&quot;given&quot;:&quot;Cristina&quot;,&quot;parse-names&quot;:false,&quot;dropping-particle&quot;:&quot;&quot;,&quot;non-dropping-particle&quot;:&quot;&quot;},{&quot;family&quot;:&quot;Calistri&quot;,&quot;given&quot;:&quot;Arianna&quot;,&quot;parse-names&quot;:false,&quot;dropping-particle&quot;:&quot;&quot;,&quot;non-dropping-particle&quot;:&quot;&quot;}],&quot;container-title&quot;:&quot;International journal of molecular sciences&quot;,&quot;container-title-short&quot;:&quot;Int J Mol Sci&quot;,&quot;accessed&quot;:{&quot;date-parts&quot;:[[2023,6,29]]},&quot;DOI&quot;:&quot;10.3390/IJMS24119255&quot;,&quot;ISSN&quot;:&quot;1422-0067&quot;,&quot;PMID&quot;:&quot;37298206&quot;,&quot;URL&quot;:&quot;https://pubmed.ncbi.nlm.nih.gov/37298206/&quot;,&quot;issued&quot;:{&quot;date-parts&quot;:[[2023,6,1]]},&quot;abstract&quot;:&quo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quot;,&quot;publisher&quot;:&quot;Int J Mol Sci&quot;,&quot;issue&quot;:&quot;11&quot;,&quot;volume&quot;:&quot;24&quot;},&quot;isTemporary&quot;:false}]},{&quot;citationID&quot;:&quot;MENDELEY_CITATION_06443bcc-5362-4710-9387-e17d00380f22&quot;,&quot;properties&quot;:{&quot;noteIndex&quot;:0},&quot;isEdited&quot;:false,&quot;manualOverride&quot;:{&quot;isManuallyOverridden&quot;:false,&quot;citeprocText&quot;:&quot;[5,6]&quot;,&quot;manualOverrideText&quot;:&quot;&quot;},&quot;citationTag&quot;:&quot;MENDELEY_CITATION_v3_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&quot;,&quot;citationItems&quot;:[{&quot;id&quot;:&quot;dc46e521-6359-391f-af3c-cc5c39a072a1&quot;,&quot;itemData&quot;:{&quot;type&quot;:&quot;article-journal&quot;,&quot;id&quot;:&quot;dc46e521-6359-391f-af3c-cc5c39a072a1&quot;,&quot;title&quot;:&quot;Restricted replication of herpes simplex virus in human monocyte cultures: role of interferon&quot;,&quot;author&quot;:[{&quot;family&quot;:&quot;Linnavuori&quot;,&quot;given&quot;:&quot;Kimmo&quot;,&quot;parse-names&quot;:false,&quot;dropping-particle&quot;:&quot;&quot;,&quot;non-dropping-particle&quot;:&quot;&quot;},{&quot;family&quot;:&quot;Hovi&quot;,&quot;given&quot;:&quot;Tapani&quot;,&quot;parse-names&quot;:false,&quot;dropping-particle&quot;:&quot;&quot;,&quot;non-dropping-particle&quot;:&quot;&quot;}],&quot;container-title&quot;:&quot;Virology&quot;,&quot;container-title-short&quot;:&quot;Virology&quot;,&quot;accessed&quot;:{&quot;date-parts&quot;:[[2022,5,24]]},&quot;DOI&quot;:&quot;10.1016/0042-6822(83)90112-5&quot;,&quot;ISSN&quot;:&quot;0042-6822&quot;,&quot;PMID&quot;:&quot;6195813&quot;,&quot;URL&quot;:&quot;https://pubmed.ncbi.nlm.nih.gov/6195813/&quot;,&quot;issued&quot;:{&quot;date-parts&quot;:[[1983,10,15]]},&quot;page&quot;:&quot;1-9&quot;,&quot;abstract&quot;:&quot;Exposure of fresh human monocytes in culture to high or moderate concentrations of herpes simplex virus (HSV) resulted in an abortive infection or in a highly restricted replication of the virus. Infectious progeny virus yields were obtained either by diluting the inoculum virus to multiplicities of 0.1-0.0001 PFU/cell, or by cultivation of the cells for a few days before exposure to the virus. Interferon was synthesized and released into the medium of monocyte cultures infected with the higher multiplicities, while the lower productive multiplicities or inoculations of HSV into mature macrophage cultures resulted in a production of only small amounts, if any, of interferon. Inhibition of the morphological differentiation of monocytes was seen in cultures infected with the higher multiplicities of HSV (m.o.i. 1.0-0.1 PFU/cell) and was not unlike that caused by exogenous interferon added into uninfected monocyte cultures. Antisera against the leukocyte interferon were able to enhance the production of infectious HSV in monocyte-macrophage cultures. These results suggest that interferon induced in monocytes by high multiplicities of HSV can prevent the productive replication of HSV. Apart from its possible direct antiviral effect interferon may cause this restriction of HSV replication by inhibiting the differentiation of host monocytes. © 1983.&quot;,&quot;publisher&quot;:&quot;Virology&quot;,&quot;issue&quot;:&quot;1&quot;,&quot;volume&quot;:&quot;130&quot;},&quot;isTemporary&quot;:false},{&quot;id&quot;:&quot;a146df91-8f67-339a-be12-b6ba30c41499&quot;,&quot;itemData&quot;:{&quot;type&quot;:&quot;article-journal&quot;,&quot;id&quot;:&quot;a146df91-8f67-339a-be12-b6ba30c41499&quot;,&quot;title&quot;:&quot;Herpes simplex virus infection in human monocyte cultures: dose-dependent inhibition of monocyte differentiation resulting in abortive infection&quot;,&quot;author&quot;:[{&quot;family&quot;:&quot;Linnavuori&quot;,&quot;given&quot;:&quot;K.&quot;,&quot;parse-names&quot;:false,&quot;dropping-particle&quot;:&quot;&quot;,&quot;non-dropping-particle&quot;:&quot;&quot;},{&quot;family&quot;:&quot;Hovi&quot;,&quot;given&quot;:&quot;T.&quot;,&quot;parse-names&quot;:false,&quot;dropping-particle&quot;:&quot;&quot;,&quot;non-dropping-particle&quot;:&quot;&quot;}],&quot;container-title&quot;:&quot;The Journal of general virology&quot;,&quot;container-title-short&quot;:&quot;J Gen Virol&quot;,&quot;accessed&quot;:{&quot;date-parts&quot;:[[2022,5,24]]},&quot;DOI&quot;:&quot;10.1099/0022-1317-52-2-381&quot;,&quot;ISSN&quot;:&quot;0022-1317&quot;,&quot;PMID&quot;:&quot;6270239&quot;,&quot;URL&quot;:&quot;https://pubmed.ncbi.nlm.nih.gov/6270239/&quot;,&quot;issued&quot;:{&quot;date-parts&quot;:[[1981]]},&quot;page&quot;:&quot;381-385&quot;,&quot;abstract&quot;:&quot;Monocyte-enriched cultures of human blood leukocytes were exposed to herpes simplex virus (HSV) at different multiplicities of infection (m.o.i., from about 10 to 0.0001 p.f.u./cell. Highest maximum progency virus titres were invariably obtained with low initial m.o.i., i.e. those between 0.01 and 0.0001 p.f.u./cell, while little if any infectious progeny was produced in cultures inoculated with the highest virus concentrations. By the time of maximum virus production, i.e. 5 to 7 days after inoculation, monocytes in the uninfected cultures had mostly differentiated to macrophages. This differentiation was partially inhibited in cultures initially exposed to the higher concentrations of HSV. Synthesis of HSV antigens was detected by indirect immunofluorescence both in the high m.o.i. cultures and in the productively infected cultures. By this criterion, a maximum of 10 to 15% of all adherent cells became infected in both culture types. It is suggested that the higher doses of HSV, by inhibiting cellular maturation, also prevent the subsequent completion of its own infectious cycle.&quot;,&quot;publisher&quot;:&quot;J Gen Virol&quot;,&quot;issue&quot;:&quot;Pt 2&quot;,&quot;volume&quot;:&quot;52&quot;},&quot;isTemporary&quot;:false}]},{&quot;citationID&quot;:&quot;MENDELEY_CITATION_a5dcc2eb-2c26-406f-8882-e5948a446f70&quot;,&quot;properties&quot;:{&quot;noteIndex&quot;:0},&quot;isEdited&quot;:false,&quot;manualOverride&quot;:{&quot;isManuallyOverridden&quot;:false,&quot;citeprocText&quot;:&quot;[7]&quot;,&quot;manualOverrideText&quot;:&quot;&quot;},&quot;citationTag&quot;:&quot;MENDELEY_CITATION_v3_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&quot;,&quot;citationItems&quot;:[{&quot;id&quot;:&quot;7f2b42c6-4a96-369b-8ffa-f122c6169ef2&quot;,&quot;itemData&quot;:{&quot;type&quot;:&quot;article-journal&quot;,&quot;id&quot;:&quot;7f2b42c6-4a96-369b-8ffa-f122c6169ef2&quot;,&quot;title&quot;:&quot;Simultaneous Expression of Different Therapeutic Genes by Infection with Multiple Oncolytic HSV-1 Vectors&quot;,&quot;author&quot;:[{&quot;family&quot;:&quot;Vitiello&quot;,&quot;given&quot;:&quot;Adriana&quot;,&quot;parse-names&quot;:false,&quot;dropping-particle&quot;:&quot;&quot;,&quot;non-dropping-particle&quot;:&quot;&quot;},{&quot;family&quot;:&quot;Reale&quot;,&quot;given&quot;:&quot;Alberto&quot;,&quot;parse-names&quot;:false,&quot;dropping-particle&quot;:&quot;&quot;,&quot;non-dropping-particle&quot;:&quot;&quot;},{&quot;family&quot;:&quot;Conciatori&quot;,&quot;given&quot;:&quot;Valeria&quot;,&quot;parse-names&quot;:false,&quot;dropping-particle&quot;:&quot;&quot;,&quot;non-dropping-particle&quot;:&quot;&quot;},{&quot;family&quot;:&quot;Vicco&quot;,&quot;given&quot;:&quot;Anna&quot;,&quot;parse-names&quot;:false,&quot;dropping-particle&quot;:&quot;&quot;,&quot;non-dropping-particle&quot;:&quot;&quot;},{&quot;family&quot;:&quot;Garzino-Demo&quot;,&quot;given&quot;:&quot;Alfredo&quot;,&quot;parse-names&quot;:false,&quot;dropping-particle&quot;:&quot;&quot;,&quot;non-dropping-particle&quot;:&quot;&quot;},{&quot;family&quot;:&quot;Palù&quot;,&quot;given&quot;:&quot;Giorgio&quot;,&quot;parse-names&quot;:false,&quot;dropping-particle&quot;:&quot;&quot;,&quot;non-dropping-particle&quot;:&quot;&quot;},{&quot;family&quot;:&quot;Parolin&quot;,&quot;given&quot;:&quot;Cristina&quot;,&quot;parse-names&quot;:false,&quot;dropping-particle&quot;:&quot;&quot;,&quot;non-dropping-particle&quot;:&quot;&quot;},{&quot;family&quot;:&quot;Einem&quot;,&quot;given&quot;:&quot;Jens&quot;,&quot;parse-names&quot;:false,&quot;dropping-particle&quot;:&quot;&quot;,&quot;non-dropping-particle&quot;:&quot;von&quot;},{&quot;family&quot;:&quot;Calistri&quot;,&quot;given&quot;:&quot;Arianna&quot;,&quot;parse-names&quot;:false,&quot;dropping-particle&quot;:&quot;&quot;,&quot;non-dropping-particle&quot;:&quot;&quot;}],&quot;container-title&quot;:&quot;Biomedicines&quot;,&quot;container-title-short&quot;:&quot;Biomedicines&quot;,&quot;accessed&quot;:{&quot;date-parts&quot;:[[2024,8,18]]},&quot;DOI&quot;:&quot;10.3390/BIOMEDICINES12071577&quot;,&quot;ISSN&quot;:&quot;2227-9059&quot;,&quot;PMID&quot;:&quot;39062150&quot;,&quot;URL&quot;:&quot;https://pubmed.ncbi.nlm.nih.gov/39062150/&quot;,&quot;issued&quot;:{&quot;date-parts&quot;:[[2024,7,16]]},&quot;page&quot;:&quot;1577&quot;,&quot;abstract&quot;:&quot;Oncolytic viruses (OVs) are anti-cancer therapeutics combining the selective killing of cancer cells with the triggering of an anti-tumoral immune response. The latter effect can be improved by arming OVs with immunomodulatory factors. Due to the heterogeneity of cancer and the tumor microenvironment, it is anticipated that strategies based on the co-expression of multiple therapeutic molecules that interfere with different features of the target malignancy will be more effective than mono-therapies. Here, we show that (i) the simultaneous expression of different proteins in triple-negative breast cancer (TNBC) cells can be achieved through their infection with a combination of OVs based on herpes simplex virus type 1 (oHSV1), each encoding a single transgene. (ii) The level of expressed proteins is dependent on the number of infectious viral particles utilized to challenge tumor cells. (iii) All recombinant viruses exhibited comparable efficacy in the killing of TNBC cells in single and multiple infections and showed similar kinetics of replication. Overall, our results suggest that a strategy based on co-infection with a panel of oHSV1s may represent a promising combinatorial therapeutic approach for TNBC, as well as for other types of solid tumors, that merits further investigation in more advanced in vitro and in vivo models.&quot;,&quot;publisher&quot;:&quot;Biomedicines&quot;,&quot;issue&quot;:&quot;7&quot;,&quot;volume&quot;:&quot;12&quot;},&quot;isTemporary&quot;:false}]},{&quot;citationID&quot;:&quot;MENDELEY_CITATION_3dc3064d-092d-4892-a5e8-b8edde50e92a&quot;,&quot;properties&quot;:{&quot;noteIndex&quot;:0},&quot;isEdited&quot;:false,&quot;manualOverride&quot;:{&quot;isManuallyOverridden&quot;:false,&quot;citeprocText&quot;:&quot;[4]&quot;,&quot;manualOverrideText&quot;:&quot;&quot;},&quot;citationTag&quot;:&quot;MENDELEY_CITATION_v3_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&quot;,&quot;citationItems&quot;:[{&quot;id&quot;:&quot;d85a88ba-693b-3ce4-9d14-520d3e8c2311&quot;,&quot;itemData&quot;:{&quot;type&quot;:&quot;article-journal&quot;,&quot;id&quot;:&quot;d85a88ba-693b-3ce4-9d14-520d3e8c2311&quot;,&quot;title&quot;:&quot;Human Monocytes Are Suitable Carriers for the Delivery of Oncolytic Herpes Simplex Virus Type 1 In Vitro and in a Chicken Embryo Chorioallantoic Membrane Model of Cancer&quot;,&quot;author&quot;:[{&quot;family&quot;:&quot;Reale&quot;,&quot;given&quot;:&quot;Alberto&quot;,&quot;parse-names&quot;:false,&quot;dropping-particle&quot;:&quot;&quot;,&quot;non-dropping-particle&quot;:&quot;&quot;},{&quot;family&quot;:&quot;Krutzke&quot;,&quot;given&quot;:&quot;Lea&quot;,&quot;parse-names&quot;:false,&quot;dropping-particle&quot;:&quot;&quot;,&quot;non-dropping-particle&quot;:&quot;&quot;},{&quot;family&quot;:&quot;Cadamuro&quot;,&quot;given&quot;:&quot;Massimiliano&quot;,&quot;parse-names&quot;:false,&quot;dropping-particle&quot;:&quot;&quot;,&quot;non-dropping-particle&quot;:&quot;&quot;},{&quot;family&quot;:&quot;Vitiello&quot;,&quot;given&quot;:&quot;Adriana&quot;,&quot;parse-names&quot;:false,&quot;dropping-particle&quot;:&quot;&quot;,&quot;non-dropping-particle&quot;:&quot;&quot;},{&quot;family&quot;:&quot;Einem&quot;,&quot;given&quot;:&quot;Jens&quot;,&quot;parse-names&quot;:false,&quot;dropping-particle&quot;:&quot;&quot;,&quot;non-dropping-particle&quot;:&quot;von&quot;},{&quot;family&quot;:&quot;Kochanek&quot;,&quot;given&quot;:&quot;Stefan&quot;,&quot;parse-names&quot;:false,&quot;dropping-particle&quot;:&quot;&quot;,&quot;non-dropping-particle&quot;:&quot;&quot;},{&quot;family&quot;:&quot;Palù&quot;,&quot;given&quot;:&quot;Giorgio&quot;,&quot;parse-names&quot;:false,&quot;dropping-particle&quot;:&quot;&quot;,&quot;non-dropping-particle&quot;:&quot;&quot;},{&quot;family&quot;:&quot;Parolin&quot;,&quot;given&quot;:&quot;Cristina&quot;,&quot;parse-names&quot;:false,&quot;dropping-particle&quot;:&quot;&quot;,&quot;non-dropping-particle&quot;:&quot;&quot;},{&quot;family&quot;:&quot;Calistri&quot;,&quot;given&quot;:&quot;Arianna&quot;,&quot;parse-names&quot;:false,&quot;dropping-particle&quot;:&quot;&quot;,&quot;non-dropping-particle&quot;:&quot;&quot;}],&quot;container-title&quot;:&quot;International journal of molecular sciences&quot;,&quot;container-title-short&quot;:&quot;Int J Mol Sci&quot;,&quot;accessed&quot;:{&quot;date-parts&quot;:[[2023,6,29]]},&quot;DOI&quot;:&quot;10.3390/IJMS24119255&quot;,&quot;ISSN&quot;:&quot;1422-0067&quot;,&quot;PMID&quot;:&quot;37298206&quot;,&quot;URL&quot;:&quot;https://pubmed.ncbi.nlm.nih.gov/37298206/&quot;,&quot;issued&quot;:{&quot;date-parts&quot;:[[2023,6,1]]},&quot;abstract&quot;:&quo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quot;,&quot;publisher&quot;:&quot;Int J Mol Sci&quot;,&quot;issue&quot;:&quot;11&quot;,&quot;volume&quot;:&quot;24&quot;},&quot;isTemporary&quot;:false}]},{&quot;citationID&quot;:&quot;MENDELEY_CITATION_968a0a57-1857-494b-9440-a103350d25e4&quot;,&quot;properties&quot;:{&quot;noteIndex&quot;:0},&quot;isEdited&quot;:false,&quot;manualOverride&quot;:{&quot;isManuallyOverridden&quot;:false,&quot;citeprocText&quot;:&quot;[8]&quot;,&quot;manualOverrideText&quot;:&quot;&quot;},&quot;citationTag&quot;:&quot;MENDELEY_CITATION_v3_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&quot;,&quot;citationItems&quot;:[{&quot;id&quot;:&quot;e743670c-dd9e-31ac-a9b8-adadd9803a18&quot;,&quot;itemData&quot;:{&quot;type&quot;:&quot;article-journal&quot;,&quot;id&quot;:&quot;e743670c-dd9e-31ac-a9b8-adadd9803a18&quot;,&quot;title&quot;:&quot;The pro-differentiating role of miR-124: indicating the road to become a neuron&quot;,&quot;author&quot;:[{&quot;family&quot;:&quot;Maiorano&quot;,&quot;given&quot;:&quot;Nicola Antonio&quot;,&quot;parse-names&quot;:false,&quot;dropping-particle&quot;:&quot;&quot;,&quot;non-dropping-particle&quot;:&quot;&quot;},{&quot;family&quot;:&quot;Mallamaci&quot;,&quot;given&quot;:&quot;Antonello&quot;,&quot;parse-names&quot;:false,&quot;dropping-particle&quot;:&quot;&quot;,&quot;non-dropping-particle&quot;:&quot;&quot;}],&quot;container-title&quot;:&quot;RNA biology&quot;,&quot;container-title-short&quot;:&quot;RNA Biol&quot;,&quot;accessed&quot;:{&quot;date-parts&quot;:[[2023,9,23]]},&quot;DOI&quot;:&quot;10.4161/RNA.7.5.12262&quot;,&quot;ISSN&quot;:&quot;1555-8584&quot;,&quot;PMID&quot;:&quot;20523124&quot;,&quot;URL&quot;:&quot;https://pubmed.ncbi.nlm.nih.gov/20523124/&quot;,&quot;issued&quot;:{&quot;date-parts&quot;:[[2010]]},&quot;page&quot;:&quot;528-533&quot;,&quot;abstract&quot;:&quot;miRNAs are essential post-transcriptional modulators affecting cell identity and fate, with a central role in cellular and developmental processes. The brain-enriched neuronal specific mirNAs-124 has been identified as a promoter of neuronogenesis in various conditions, in vitro and in vivo, with a potential role in regulating also activities of post-mitotic neurons, such as synaptic plasticity and memory formation. in this point of view, we recapitulate the main experimental findings substantiating the positive correlation between mir-124 expression and neuronogenesis progression. Then, we describe the impact of miR-124 on the molecular network driving the profound changes which take place in differentiating neuronal cells. Finally, we consider the possibility of a post-transcriptional modulation of miR-124 biogenesis, which may finely regulate - in turn - the activities of miR-124 in neural precursor cells. © 2010 Landes Bioscience.&quot;,&quot;publisher&quot;:&quot;RNA Biol&quot;,&quot;issue&quot;:&quot;5&quot;,&quot;volume&quot;:&quot;7&quot;},&quot;isTemporary&quot;:false}]},{&quot;citationID&quot;:&quot;MENDELEY_CITATION_0fc94e21-d22d-4b91-9253-79b4042f233d&quot;,&quot;properties&quot;:{&quot;noteIndex&quot;:0},&quot;isEdited&quot;:false,&quot;manualOverride&quot;:{&quot;isManuallyOverridden&quot;:false,&quot;citeprocText&quot;:&quot;[9]&quot;,&quot;manualOverrideText&quot;:&quot;&quot;},&quot;citationTag&quot;:&quot;MENDELEY_CITATION_v3_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&quot;,&quot;citationItems&quot;:[{&quot;id&quot;:&quot;520bcfae-985f-30c7-8f4e-ed597ba8b0d7&quot;,&quot;itemData&quot;:{&quot;type&quot;:&quot;article-journal&quot;,&quot;id&quot;:&quot;520bcfae-985f-30c7-8f4e-ed597ba8b0d7&quot;,&quot;title&quot;:&quot;ICP8 Filament Formation Is Essential for Replication Compartment Formation during Herpes Simplex Virus Infection&quot;,&quot;author&quot;:[{&quot;family&quot;:&quot;Darwish&quot;,&quot;given&quot;:&quot;Anthar S.&quot;,&quot;parse-names&quot;:false,&quot;dropping-particle&quot;:&quot;&quot;,&quot;non-dropping-particle&quot;:&quot;&quot;},{&quot;family&quot;:&quot;Grady&quot;,&quot;given&quot;:&quot;Lorry M.&quot;,&quot;parse-names&quot;:false,&quot;dropping-particle&quot;:&quot;&quot;,&quot;non-dropping-particle&quot;:&quot;&quot;},{&quot;family&quot;:&quot;Bai&quot;,&quot;given&quot;:&quot;Ping&quot;,&quot;parse-names&quot;:false,&quot;dropping-particle&quot;:&quot;&quot;,&quot;non-dropping-particle&quot;:&quot;&quot;},{&quot;family&quot;:&quot;Weller&quot;,&quot;given&quot;:&quot;Sandra K.&quot;,&quot;parse-names&quot;:false,&quot;dropping-particle&quot;:&quot;&quot;,&quot;non-dropping-particle&quot;:&quot;&quot;}],&quot;container-title&quot;:&quot;Journal of Virology&quot;,&quot;container-title-short&quot;:&quot;J Virol&quot;,&quot;accessed&quot;:{&quot;date-parts&quot;:[[2021,8,9]]},&quot;DOI&quot;:&quot;10.1128/JVI.02854-15&quot;,&quot;issued&quot;:{&quot;date-parts&quot;:[[2016,3]]},&quot;page&quot;:&quot;2561-2570&quot;,&quot;abstract&quot;:&quot;Herpes simplex virus (HSV) dramatically reorganizes the infected-cell nucleus, leading to the formation of prereplicative sites and replication compartments. This process is driven by the essential viral single-stranded DNA (ssDNA) binding protein ICP8, which can form double-helical filaments in the absence of DNA. In this paper, we show that two conserved motifs, FNF (F1142, N1143, and F1144) and FW (F843 and W844), are essential for ICP8 self-interactions, and we propose that the FNF motif docks into the FW region during filament formation. Mammalian expression plasmids bearing mutations in these motifs (FNF and FW) were unable to complement an ICP8-null mutant for growth and replication compartment formation. Furthermore, FNF and FW mutants were able to inhibit wild-type (WT) virus plaque formation and filament formation, whereas a double mutant (FNF-FW) was not. These results suggest that single mutant proteins are incorporated into nonproductive ICP8 filaments, while the double mutant is unable to interact with WT ICP8 and does not interfere with WT growth. Cells transfected with WT ICP8 and the helicase-primase (H/P) complex exhibited punctate nuclear structures that resemble prereplicative sites; however, the FNF and FW mutants failed to do so. Taken together, these results suggest that the FNF and FW motifs are required for ICP8 self-interactions and that these interactions may be important for the formation of prereplicative sites and replication compartments. We propose that filaments or other higher-order structures of ICP8 may provide a scaffold onto which other proteins can be recruited to form prereplicative sites and replication compartments. IMPORTANCE For nuclear viruses such as HSV, efficient DNA replication requires the formation of discrete compartments within the infected-cell nucleus in which replication proteins are concentrated and assembled into the HSV replisome. In this paper, we characterize the role of filament formation by the single-stranded DNA binding protein ICP8 in the formation of prereplicative sites and replication compartments. We propose that ICP8 protein filaments generate a protein scaffold for other cellular and viral proteins, resulting in a structure that concentrates both viral DNA and replication proteins. Replication compartments may be similar to other types of cellular membraneless compartments thought to be formed by phase separations caused by low-affinity, multivalent interactions involving proteins and nucleic acids within cells. ICP8 scaffolds could facilitate the formation of replication compartments by mediating interactions with other components of the replication machinery. &quot;,&quot;publisher&quot;:&quot;American Society for Microbiology&quot;,&quot;issue&quot;:&quot;5&quot;,&quot;volume&quot;:&quot;90&quot;},&quot;isTemporary&quot;:false}]}]"/>
    <we:property name="MENDELEY_CITATIONS_LOCALE_CODE" value="&quot;en-US&quot;"/>
    <we:property name="MENDELEY_CITATIONS_STYLE" value="{&quot;id&quot;:&quot;https://www.zotero.org/styles/viruses&quot;,&quot;title&quot;:&quot;Viruses&quot;,&quot;format&quot;:&quot;numeric&quot;,&quot;defaultLocale&quot;:&quot;en-US&quot;,&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vwrc4dXtzUbbkEZIytSnMMSbVg==">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</go:docsCustomData>
</go:gDocsCustomXmlDataStorage>
</file>

<file path=customXml/itemProps1.xml><?xml version="1.0" encoding="utf-8"?>
<ds:datastoreItem xmlns:ds="http://schemas.openxmlformats.org/officeDocument/2006/customXml" ds:itemID="{38716AB2-63C9-418F-B421-3DC004D662D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19</Pages>
  <Words>26529</Words>
  <Characters>151217</Characters>
  <Application>Microsoft Office Word</Application>
  <DocSecurity>0</DocSecurity>
  <Lines>1260</Lines>
  <Paragraphs>354</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HP Inc.</Company>
  <LinksUpToDate>false</LinksUpToDate>
  <CharactersWithSpaces>177392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 Micheli</dc:creator>
  <cp:keywords/>
  <dc:description/>
  <cp:lastModifiedBy>Elisa Cimetta</cp:lastModifiedBy>
  <cp:revision>5</cp:revision>
  <dcterms:created xsi:type="dcterms:W3CDTF">2025-05-02T16:03:00Z</dcterms:created>
  <dcterms:modified xsi:type="dcterms:W3CDTF">2025-05-06T19:38:00Z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0x01010070446C3525B3CB46BD92ABA5C2617223</vt:lpwstr>
  </property>
  <property fmtid="{D5CDD505-2E9C-101B-9397-08002B2CF9AE}" pid="3" name="Mendeley Document_1">
    <vt:lpwstr>True</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 11th edition</vt:lpwstr>
  </property>
  <property fmtid="{D5CDD505-2E9C-101B-9397-08002B2CF9AE}" pid="6" name="Mendeley Recent Style Id 1_1">
    <vt:lpwstr>http://www.zotero.org/styles/american-political-science-association</vt:lpwstr>
  </property>
  <property fmtid="{D5CDD505-2E9C-101B-9397-08002B2CF9AE}" pid="7" name="Mendeley Recent Style Name 1_1">
    <vt:lpwstr>American Political Science Association</vt:lpwstr>
  </property>
  <property fmtid="{D5CDD505-2E9C-101B-9397-08002B2CF9AE}" pid="8" name="Mendeley Recent Style Id 2_1">
    <vt:lpwstr>http://www.zotero.org/styles/apa</vt:lpwstr>
  </property>
  <property fmtid="{D5CDD505-2E9C-101B-9397-08002B2CF9AE}" pid="9" name="Mendeley Recent Style Name 2_1">
    <vt:lpwstr>American Psychological Association 7th edition</vt:lpwstr>
  </property>
  <property fmtid="{D5CDD505-2E9C-101B-9397-08002B2CF9AE}" pid="10" name="Mendeley Recent Style Id 3_1">
    <vt:lpwstr>http://www.zotero.org/styles/american-sociological-association</vt:lpwstr>
  </property>
  <property fmtid="{D5CDD505-2E9C-101B-9397-08002B2CF9AE}" pid="11" name="Mendeley Recent Style Name 3_1">
    <vt:lpwstr>American Sociological Association 6th/7th edition</vt:lpwstr>
  </property>
  <property fmtid="{D5CDD505-2E9C-101B-9397-08002B2CF9AE}" pid="12" name="Mendeley Recent Style Id 4_1">
    <vt:lpwstr>http://www.zotero.org/styles/chicago-author-date</vt:lpwstr>
  </property>
  <property fmtid="{D5CDD505-2E9C-101B-9397-08002B2CF9AE}" pid="13" name="Mendeley Recent Style Name 4_1">
    <vt:lpwstr>Chicago Manual of Style 17th edition (author-date)</vt:lpwstr>
  </property>
  <property fmtid="{D5CDD505-2E9C-101B-9397-08002B2CF9AE}" pid="14" name="Mendeley Recent Style Id 5_1">
    <vt:lpwstr>http://www.zotero.org/styles/harvard-cite-them-right</vt:lpwstr>
  </property>
  <property fmtid="{D5CDD505-2E9C-101B-9397-08002B2CF9AE}" pid="15" name="Mendeley Recent Style Name 5_1">
    <vt:lpwstr>Cite Them Right 12th edition - Harvard</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4th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9th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http://www.zotero.org/styles/small</vt:lpwstr>
  </property>
  <property fmtid="{D5CDD505-2E9C-101B-9397-08002B2CF9AE}" pid="23" name="Mendeley Recent Style Name 9_1">
    <vt:lpwstr>Small</vt:lpwstr>
  </property>
  <property fmtid="{D5CDD505-2E9C-101B-9397-08002B2CF9AE}" pid="24" name="Mendeley Citation Style_1">
    <vt:lpwstr>http://www.zotero.org/styles/small</vt:lpwstr>
  </property>
  <property fmtid="{D5CDD505-2E9C-101B-9397-08002B2CF9AE}" pid="25" name="Mendeley Unique User Id_1">
    <vt:lpwstr>28ea14fa-f002-386c-bdfa-bd4dd68d6a01</vt:lpwstr>
  </property>
</Properties>
</file>